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河源市人民医院</w:t>
      </w:r>
      <w:r>
        <w:rPr>
          <w:rFonts w:hint="eastAsia" w:ascii="仿宋" w:hAnsi="仿宋" w:eastAsia="仿宋" w:cs="仿宋"/>
          <w:b/>
          <w:bCs/>
          <w:sz w:val="44"/>
          <w:szCs w:val="44"/>
          <w:lang w:val="en-US" w:eastAsia="zh-CN"/>
        </w:rPr>
        <w:t>新型冠状病毒核酸检测</w:t>
      </w:r>
      <w:r>
        <w:rPr>
          <w:rFonts w:hint="eastAsia" w:ascii="仿宋" w:hAnsi="仿宋" w:eastAsia="仿宋" w:cs="仿宋"/>
          <w:b/>
          <w:bCs/>
          <w:sz w:val="44"/>
          <w:szCs w:val="44"/>
          <w:lang w:val="en-US" w:eastAsia="zh-CN"/>
        </w:rPr>
        <w:t>实验室技术服务采购</w:t>
      </w:r>
      <w:r>
        <w:rPr>
          <w:rFonts w:hint="eastAsia" w:ascii="仿宋" w:hAnsi="仿宋" w:eastAsia="仿宋" w:cs="仿宋"/>
          <w:b/>
          <w:bCs/>
          <w:sz w:val="44"/>
          <w:szCs w:val="44"/>
          <w:lang w:val="en-US" w:eastAsia="zh-CN"/>
        </w:rPr>
        <w:t>项目用户需求书</w:t>
      </w:r>
    </w:p>
    <w:p>
      <w:pPr>
        <w:keepNext w:val="0"/>
        <w:keepLines w:val="0"/>
        <w:pageBreakBefore w:val="0"/>
        <w:kinsoku/>
        <w:wordWrap/>
        <w:overflowPunct/>
        <w:topLinePunct w:val="0"/>
        <w:bidi w:val="0"/>
        <w:spacing w:line="580" w:lineRule="exact"/>
        <w:ind w:firstLine="562" w:firstLineChars="200"/>
        <w:textAlignment w:val="auto"/>
        <w:rPr>
          <w:rFonts w:hint="eastAsia" w:ascii="仿宋" w:hAnsi="仿宋" w:eastAsia="仿宋" w:cs="仿宋"/>
          <w:b/>
          <w:bCs/>
          <w:sz w:val="28"/>
          <w:szCs w:val="28"/>
        </w:rPr>
      </w:pPr>
      <w:bookmarkStart w:id="0" w:name="_Hlk511827959"/>
    </w:p>
    <w:bookmarkEnd w:id="0"/>
    <w:p>
      <w:pPr>
        <w:keepNext w:val="0"/>
        <w:keepLines w:val="0"/>
        <w:pageBreakBefore w:val="0"/>
        <w:kinsoku/>
        <w:wordWrap/>
        <w:overflowPunct/>
        <w:topLinePunct w:val="0"/>
        <w:bidi w:val="0"/>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一、技术</w:t>
      </w:r>
      <w:r>
        <w:rPr>
          <w:rFonts w:hint="eastAsia" w:ascii="仿宋" w:hAnsi="仿宋" w:eastAsia="仿宋" w:cs="仿宋"/>
          <w:b/>
          <w:bCs/>
          <w:sz w:val="28"/>
          <w:szCs w:val="28"/>
        </w:rPr>
        <w:t>要求</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cs="仿宋"/>
          <w:sz w:val="28"/>
          <w:szCs w:val="28"/>
          <w:lang w:eastAsia="zh-CN"/>
        </w:rPr>
        <w:t>（</w:t>
      </w:r>
      <w:r>
        <w:rPr>
          <w:rFonts w:hint="eastAsia" w:ascii="仿宋" w:hAnsi="仿宋" w:cs="仿宋"/>
          <w:sz w:val="28"/>
          <w:szCs w:val="28"/>
          <w:lang w:val="en-US" w:eastAsia="zh-CN"/>
        </w:rPr>
        <w:t>一</w:t>
      </w:r>
      <w:r>
        <w:rPr>
          <w:rFonts w:hint="eastAsia" w:ascii="仿宋" w:hAnsi="仿宋" w:cs="仿宋"/>
          <w:sz w:val="28"/>
          <w:szCs w:val="28"/>
          <w:lang w:eastAsia="zh-CN"/>
        </w:rPr>
        <w:t>）</w:t>
      </w:r>
      <w:r>
        <w:rPr>
          <w:rFonts w:hint="eastAsia" w:ascii="仿宋" w:hAnsi="仿宋" w:eastAsia="仿宋" w:cs="仿宋"/>
          <w:sz w:val="28"/>
          <w:szCs w:val="28"/>
        </w:rPr>
        <w:t>安排</w:t>
      </w:r>
      <w:r>
        <w:rPr>
          <w:rFonts w:hint="eastAsia" w:ascii="仿宋" w:hAnsi="仿宋" w:eastAsia="仿宋" w:cs="仿宋"/>
          <w:sz w:val="28"/>
          <w:szCs w:val="28"/>
          <w:lang w:val="en-US" w:eastAsia="zh-CN"/>
        </w:rPr>
        <w:t xml:space="preserve"> 8名</w:t>
      </w:r>
      <w:r>
        <w:rPr>
          <w:rFonts w:hint="eastAsia" w:ascii="仿宋" w:hAnsi="仿宋" w:eastAsia="仿宋" w:cs="仿宋"/>
          <w:sz w:val="28"/>
          <w:szCs w:val="28"/>
        </w:rPr>
        <w:t>具备</w:t>
      </w:r>
      <w:r>
        <w:rPr>
          <w:rFonts w:hint="eastAsia" w:ascii="仿宋" w:hAnsi="仿宋" w:eastAsia="仿宋" w:cs="仿宋"/>
          <w:sz w:val="28"/>
          <w:szCs w:val="28"/>
          <w:lang w:val="en-US" w:eastAsia="zh-CN"/>
        </w:rPr>
        <w:t>双证</w:t>
      </w:r>
      <w:r>
        <w:rPr>
          <w:rFonts w:hint="eastAsia" w:ascii="仿宋" w:hAnsi="仿宋" w:eastAsia="仿宋" w:cs="仿宋"/>
          <w:sz w:val="28"/>
          <w:szCs w:val="28"/>
        </w:rPr>
        <w:t>资质的PCR实验室技术人员</w:t>
      </w:r>
      <w:r>
        <w:rPr>
          <w:rFonts w:hint="eastAsia" w:ascii="仿宋" w:hAnsi="仿宋" w:eastAsia="仿宋" w:cs="仿宋"/>
          <w:sz w:val="28"/>
          <w:szCs w:val="28"/>
          <w:lang w:val="en-US" w:eastAsia="zh-CN"/>
        </w:rPr>
        <w:t>到院方驻点，并协助完成</w:t>
      </w:r>
      <w:r>
        <w:rPr>
          <w:rFonts w:hint="eastAsia" w:ascii="仿宋" w:hAnsi="仿宋" w:eastAsia="仿宋" w:cs="仿宋"/>
          <w:sz w:val="28"/>
          <w:szCs w:val="28"/>
        </w:rPr>
        <w:t>技术</w:t>
      </w:r>
      <w:r>
        <w:rPr>
          <w:rFonts w:hint="eastAsia" w:ascii="仿宋" w:hAnsi="仿宋" w:eastAsia="仿宋" w:cs="仿宋"/>
          <w:sz w:val="28"/>
          <w:szCs w:val="28"/>
          <w:lang w:val="en-US" w:eastAsia="zh-CN"/>
        </w:rPr>
        <w:t>协作</w:t>
      </w:r>
      <w:r>
        <w:rPr>
          <w:rFonts w:hint="eastAsia" w:ascii="仿宋" w:hAnsi="仿宋" w:eastAsia="仿宋" w:cs="仿宋"/>
          <w:sz w:val="28"/>
          <w:szCs w:val="28"/>
        </w:rPr>
        <w:t>及检测工作等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接收并服从甲方管理，自签订合同开始48小时内交付到位。</w:t>
      </w:r>
    </w:p>
    <w:p>
      <w:pPr>
        <w:pStyle w:val="9"/>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负责提供新型冠状病毒核酸检测试剂耗材（包括核酸检测试剂、提取试剂、采样耗材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枪头、八连管等</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新型冠状病毒核酸检测（PCR）实验室运行所需的防护耗材（口罩、防护服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帽子、鞋套、</w:t>
      </w:r>
      <w:r>
        <w:rPr>
          <w:rFonts w:hint="eastAsia" w:ascii="仿宋" w:hAnsi="仿宋" w:eastAsia="仿宋" w:cs="仿宋"/>
          <w:sz w:val="28"/>
          <w:szCs w:val="28"/>
        </w:rPr>
        <w:t>手套等）</w:t>
      </w:r>
      <w:r>
        <w:rPr>
          <w:rFonts w:hint="eastAsia" w:ascii="仿宋" w:hAnsi="仿宋" w:eastAsia="仿宋" w:cs="仿宋"/>
          <w:sz w:val="28"/>
          <w:szCs w:val="28"/>
          <w:lang w:val="en-US" w:eastAsia="zh-CN"/>
        </w:rPr>
        <w:t>及消毒用品，提供的试剂耗材保证质量符合国家规范要求，不得随意更换试剂品牌，确保检测质量</w:t>
      </w:r>
      <w:r>
        <w:rPr>
          <w:rFonts w:hint="eastAsia" w:ascii="仿宋" w:hAnsi="仿宋" w:eastAsia="仿宋" w:cs="仿宋"/>
          <w:sz w:val="28"/>
          <w:szCs w:val="28"/>
        </w:rPr>
        <w:t>。</w:t>
      </w:r>
    </w:p>
    <w:p>
      <w:pPr>
        <w:pStyle w:val="9"/>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rPr>
        <w:t>负责提供新型冠状病毒核酸检测（PCR）实验室技术</w:t>
      </w:r>
      <w:r>
        <w:rPr>
          <w:rFonts w:hint="eastAsia" w:ascii="仿宋" w:hAnsi="仿宋" w:eastAsia="仿宋" w:cs="仿宋"/>
          <w:sz w:val="28"/>
          <w:szCs w:val="28"/>
          <w:lang w:val="en-US" w:eastAsia="zh-CN"/>
        </w:rPr>
        <w:t>协助</w:t>
      </w:r>
      <w:r>
        <w:rPr>
          <w:rFonts w:hint="eastAsia" w:ascii="仿宋" w:hAnsi="仿宋" w:eastAsia="仿宋" w:cs="仿宋"/>
          <w:sz w:val="28"/>
          <w:szCs w:val="28"/>
        </w:rPr>
        <w:t>，包括但不限于：基因扩增实验室验收、</w:t>
      </w:r>
      <w:r>
        <w:rPr>
          <w:rFonts w:hint="eastAsia" w:ascii="仿宋" w:hAnsi="仿宋" w:eastAsia="仿宋" w:cs="仿宋"/>
          <w:sz w:val="28"/>
          <w:szCs w:val="28"/>
          <w:lang w:val="en-US" w:eastAsia="zh-CN"/>
        </w:rPr>
        <w:t>样本检测、</w:t>
      </w:r>
      <w:r>
        <w:rPr>
          <w:rFonts w:hint="eastAsia" w:ascii="仿宋" w:hAnsi="仿宋" w:eastAsia="仿宋" w:cs="仿宋"/>
          <w:sz w:val="28"/>
          <w:szCs w:val="28"/>
        </w:rPr>
        <w:t>生物安全、</w:t>
      </w:r>
      <w:r>
        <w:rPr>
          <w:rFonts w:hint="eastAsia" w:ascii="仿宋" w:hAnsi="仿宋" w:eastAsia="仿宋" w:cs="仿宋"/>
          <w:sz w:val="28"/>
          <w:szCs w:val="28"/>
          <w:lang w:val="en-US" w:eastAsia="zh-CN"/>
        </w:rPr>
        <w:t>实验</w:t>
      </w:r>
      <w:r>
        <w:rPr>
          <w:rFonts w:hint="eastAsia" w:ascii="仿宋" w:hAnsi="仿宋" w:eastAsia="仿宋" w:cs="仿宋"/>
          <w:sz w:val="28"/>
          <w:szCs w:val="28"/>
        </w:rPr>
        <w:t>操作规程（SOP）、实验室流程优化</w:t>
      </w:r>
      <w:r>
        <w:rPr>
          <w:rFonts w:hint="eastAsia" w:ascii="仿宋" w:hAnsi="仿宋" w:eastAsia="仿宋" w:cs="仿宋"/>
          <w:sz w:val="28"/>
          <w:szCs w:val="28"/>
          <w:lang w:eastAsia="zh-CN"/>
        </w:rPr>
        <w:t>、</w:t>
      </w:r>
      <w:r>
        <w:rPr>
          <w:rFonts w:hint="eastAsia" w:ascii="仿宋" w:hAnsi="仿宋" w:eastAsia="仿宋" w:cs="仿宋"/>
          <w:sz w:val="28"/>
          <w:szCs w:val="28"/>
        </w:rPr>
        <w:t>实验室的整体建设及规划方案等</w:t>
      </w:r>
      <w:r>
        <w:rPr>
          <w:rFonts w:hint="eastAsia" w:ascii="仿宋" w:hAnsi="仿宋" w:eastAsia="仿宋" w:cs="仿宋"/>
          <w:sz w:val="28"/>
          <w:szCs w:val="28"/>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val="en-US" w:eastAsia="zh-CN"/>
        </w:rPr>
        <w:t>）通过中国合格评定国家认可委员会(CNAS)ISO15189认可，并提供证书复印件及加盖公章。</w:t>
      </w:r>
    </w:p>
    <w:p>
      <w:pPr>
        <w:pStyle w:val="9"/>
        <w:keepNext w:val="0"/>
        <w:keepLines w:val="0"/>
        <w:pageBreakBefore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（五）具备临床检验中心颁发 PCR 临床基因扩增检验实验室验收合格证书，国家发改委批准的广东省（省级）基因检测技术应用示范中心及项目牵头建设单位资质，国家《GB/T28842-2012药品冷链物流运作规范》标准试点资质，并提供证书复印件及加盖公章。</w:t>
      </w:r>
    </w:p>
    <w:p>
      <w:pPr>
        <w:keepNext w:val="0"/>
        <w:keepLines w:val="0"/>
        <w:pageBreakBefore w:val="0"/>
        <w:kinsoku/>
        <w:wordWrap/>
        <w:overflowPunct/>
        <w:topLinePunct w:val="0"/>
        <w:bidi w:val="0"/>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二、服务</w:t>
      </w:r>
      <w:r>
        <w:rPr>
          <w:rFonts w:hint="eastAsia" w:ascii="仿宋" w:hAnsi="仿宋" w:eastAsia="仿宋" w:cs="仿宋"/>
          <w:b/>
          <w:bCs/>
          <w:sz w:val="28"/>
          <w:szCs w:val="28"/>
        </w:rPr>
        <w:t>要求</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在确保质量的基础上提升检测效率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确保政策文件及甲方要求的报告时效，实验室</w:t>
      </w:r>
      <w:r>
        <w:rPr>
          <w:rFonts w:hint="eastAsia" w:ascii="仿宋" w:hAnsi="仿宋" w:eastAsia="仿宋" w:cs="仿宋"/>
          <w:sz w:val="28"/>
          <w:szCs w:val="28"/>
        </w:rPr>
        <w:t>收到标本后</w:t>
      </w:r>
      <w:r>
        <w:rPr>
          <w:rFonts w:hint="eastAsia" w:ascii="仿宋" w:hAnsi="仿宋" w:eastAsia="仿宋" w:cs="仿宋"/>
          <w:sz w:val="28"/>
          <w:szCs w:val="28"/>
          <w:lang w:val="en-US" w:eastAsia="zh-CN"/>
        </w:rPr>
        <w:t>2-4</w:t>
      </w:r>
      <w:r>
        <w:rPr>
          <w:rFonts w:hint="eastAsia" w:ascii="仿宋" w:hAnsi="仿宋" w:eastAsia="仿宋" w:cs="仿宋"/>
          <w:sz w:val="28"/>
          <w:szCs w:val="28"/>
        </w:rPr>
        <w:t>小时内完成检测并通报结果</w:t>
      </w:r>
      <w:r>
        <w:rPr>
          <w:rFonts w:hint="eastAsia" w:ascii="仿宋" w:hAnsi="仿宋" w:eastAsia="仿宋" w:cs="仿宋"/>
          <w:sz w:val="28"/>
          <w:szCs w:val="28"/>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（二）根据疫情情况及时效需要，针对大筛查应急情况，积极调整增加</w:t>
      </w:r>
      <w:r>
        <w:rPr>
          <w:rFonts w:hint="eastAsia" w:ascii="仿宋" w:hAnsi="仿宋" w:eastAsia="仿宋" w:cs="仿宋"/>
          <w:sz w:val="28"/>
          <w:szCs w:val="28"/>
        </w:rPr>
        <w:t>PCR实验室技术人员</w:t>
      </w:r>
      <w:r>
        <w:rPr>
          <w:rFonts w:hint="eastAsia" w:ascii="仿宋" w:hAnsi="仿宋" w:eastAsia="仿宋" w:cs="仿宋"/>
          <w:sz w:val="28"/>
          <w:szCs w:val="28"/>
          <w:lang w:val="en-US" w:eastAsia="zh-CN"/>
        </w:rPr>
        <w:t>到院方驻点，直至满足医院检测需求。</w:t>
      </w:r>
    </w:p>
    <w:p>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rPr>
        <w:t>响应人有为采购人保密的义务，在未经采购人同意或授权下，响应人不得向采购人以外的任何单位或个人泄露采购人委托检测的任何信息</w:t>
      </w:r>
      <w:r>
        <w:rPr>
          <w:rFonts w:hint="eastAsia" w:ascii="仿宋" w:hAnsi="仿宋" w:eastAsia="仿宋" w:cs="仿宋"/>
          <w:sz w:val="28"/>
          <w:szCs w:val="28"/>
          <w:lang w:eastAsia="zh-CN"/>
        </w:rPr>
        <w:t>。</w:t>
      </w:r>
    </w:p>
    <w:p>
      <w:pPr>
        <w:keepNext w:val="0"/>
        <w:keepLines w:val="0"/>
        <w:pageBreakBefore w:val="0"/>
        <w:kinsoku/>
        <w:wordWrap/>
        <w:overflowPunct/>
        <w:topLinePunct w:val="0"/>
        <w:bidi w:val="0"/>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val="en-US" w:eastAsia="zh-CN"/>
        </w:rPr>
        <w:t>）</w:t>
      </w:r>
      <w:r>
        <w:rPr>
          <w:rFonts w:hint="eastAsia" w:ascii="仿宋" w:hAnsi="仿宋" w:eastAsia="仿宋" w:cs="仿宋"/>
          <w:sz w:val="28"/>
          <w:szCs w:val="28"/>
        </w:rPr>
        <w:t>检测样本、检测数据的所有权、使用权为采购人所有，未经许可不得挪作它用</w:t>
      </w:r>
      <w:r>
        <w:rPr>
          <w:rFonts w:hint="eastAsia" w:ascii="仿宋" w:hAnsi="仿宋" w:eastAsia="仿宋" w:cs="仿宋"/>
          <w:sz w:val="28"/>
          <w:szCs w:val="28"/>
          <w:lang w:eastAsia="zh-CN"/>
        </w:rPr>
        <w:t>。</w:t>
      </w:r>
    </w:p>
    <w:p>
      <w:pPr>
        <w:keepNext w:val="0"/>
        <w:keepLines w:val="0"/>
        <w:pageBreakBefore w:val="0"/>
        <w:kinsoku/>
        <w:wordWrap/>
        <w:overflowPunct/>
        <w:topLinePunct w:val="0"/>
        <w:bidi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保证检验结果的公正性，不受任何诱使或压力的干扰。</w:t>
      </w:r>
    </w:p>
    <w:p>
      <w:pPr>
        <w:keepNext w:val="0"/>
        <w:keepLines w:val="0"/>
        <w:pageBreakBefore w:val="0"/>
        <w:kinsoku/>
        <w:wordWrap/>
        <w:overflowPunct/>
        <w:topLinePunct w:val="0"/>
        <w:bidi w:val="0"/>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（六）</w:t>
      </w:r>
      <w:r>
        <w:rPr>
          <w:rFonts w:hint="eastAsia" w:ascii="仿宋" w:hAnsi="仿宋" w:eastAsia="仿宋" w:cs="仿宋"/>
          <w:sz w:val="28"/>
          <w:szCs w:val="28"/>
        </w:rPr>
        <w:t>响应人建立快速的客户服务反应机制，如有投诉或需处理的情况，响应人须在</w:t>
      </w:r>
      <w:r>
        <w:rPr>
          <w:rFonts w:hint="eastAsia" w:ascii="仿宋" w:hAnsi="仿宋" w:eastAsia="仿宋" w:cs="仿宋"/>
          <w:sz w:val="28"/>
          <w:szCs w:val="28"/>
          <w:lang w:val="en-US" w:eastAsia="zh-CN"/>
        </w:rPr>
        <w:t>2小时</w:t>
      </w:r>
      <w:r>
        <w:rPr>
          <w:rFonts w:hint="eastAsia" w:ascii="仿宋" w:hAnsi="仿宋" w:eastAsia="仿宋" w:cs="仿宋"/>
          <w:sz w:val="28"/>
          <w:szCs w:val="28"/>
        </w:rPr>
        <w:t>内及时沟通处理</w:t>
      </w:r>
      <w:r>
        <w:rPr>
          <w:rFonts w:hint="eastAsia" w:ascii="仿宋" w:hAnsi="仿宋" w:eastAsia="仿宋" w:cs="仿宋"/>
          <w:sz w:val="28"/>
          <w:szCs w:val="28"/>
          <w:lang w:eastAsia="zh-CN"/>
        </w:rPr>
        <w:t>。</w:t>
      </w:r>
    </w:p>
    <w:p>
      <w:pPr>
        <w:keepNext w:val="0"/>
        <w:keepLines w:val="0"/>
        <w:pageBreakBefore w:val="0"/>
        <w:kinsoku/>
        <w:wordWrap/>
        <w:overflowPunct/>
        <w:topLinePunct w:val="0"/>
        <w:bidi w:val="0"/>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三、商务</w:t>
      </w:r>
      <w:r>
        <w:rPr>
          <w:rFonts w:hint="eastAsia" w:ascii="仿宋" w:hAnsi="仿宋" w:eastAsia="仿宋" w:cs="仿宋"/>
          <w:b/>
          <w:bCs/>
          <w:sz w:val="28"/>
          <w:szCs w:val="28"/>
        </w:rPr>
        <w:t>要求</w:t>
      </w:r>
    </w:p>
    <w:p>
      <w:pPr>
        <w:keepNext w:val="0"/>
        <w:keepLines w:val="0"/>
        <w:pageBreakBefore w:val="0"/>
        <w:kinsoku/>
        <w:wordWrap/>
        <w:overflowPunct/>
        <w:topLinePunct w:val="0"/>
        <w:bidi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（一）服务响应</w:t>
      </w:r>
      <w:r>
        <w:rPr>
          <w:rFonts w:hint="eastAsia" w:ascii="仿宋" w:hAnsi="仿宋" w:eastAsia="仿宋" w:cs="仿宋"/>
          <w:sz w:val="28"/>
          <w:szCs w:val="28"/>
        </w:rPr>
        <w:t>期：响应人</w:t>
      </w:r>
      <w:r>
        <w:rPr>
          <w:rFonts w:hint="eastAsia" w:ascii="仿宋" w:hAnsi="仿宋" w:eastAsia="仿宋" w:cs="仿宋"/>
          <w:sz w:val="28"/>
          <w:szCs w:val="28"/>
          <w:lang w:val="en-US" w:eastAsia="zh-CN"/>
        </w:rPr>
        <w:t>自签订合同开始48小时内交付到位，</w:t>
      </w:r>
      <w:r>
        <w:rPr>
          <w:rFonts w:hint="eastAsia" w:ascii="仿宋" w:hAnsi="仿宋" w:eastAsia="仿宋" w:cs="仿宋"/>
          <w:sz w:val="28"/>
          <w:szCs w:val="28"/>
        </w:rPr>
        <w:t>提供服务时间应满足本项目服务期限。</w:t>
      </w:r>
    </w:p>
    <w:p>
      <w:pPr>
        <w:keepNext w:val="0"/>
        <w:keepLines w:val="0"/>
        <w:pageBreakBefore w:val="0"/>
        <w:kinsoku/>
        <w:wordWrap/>
        <w:overflowPunct/>
        <w:topLinePunct w:val="0"/>
        <w:bidi w:val="0"/>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（二）结算方式：</w:t>
      </w:r>
      <w:r>
        <w:rPr>
          <w:rFonts w:hint="eastAsia" w:ascii="仿宋" w:hAnsi="仿宋" w:eastAsia="仿宋" w:cs="仿宋"/>
          <w:sz w:val="28"/>
          <w:szCs w:val="28"/>
        </w:rPr>
        <w:t>成交人对标本进行检测后，每</w:t>
      </w:r>
      <w:r>
        <w:rPr>
          <w:rFonts w:hint="eastAsia" w:ascii="仿宋" w:hAnsi="仿宋" w:eastAsia="仿宋" w:cs="仿宋"/>
          <w:sz w:val="28"/>
          <w:szCs w:val="28"/>
          <w:lang w:val="en-US" w:eastAsia="zh-CN"/>
        </w:rPr>
        <w:t>个月</w:t>
      </w:r>
      <w:r>
        <w:rPr>
          <w:rFonts w:hint="eastAsia" w:ascii="仿宋" w:hAnsi="仿宋" w:eastAsia="仿宋" w:cs="仿宋"/>
          <w:sz w:val="28"/>
          <w:szCs w:val="28"/>
        </w:rPr>
        <w:t>凭检测的统计表并开具相应的发票到采购人核对</w:t>
      </w:r>
      <w:r>
        <w:rPr>
          <w:rFonts w:hint="eastAsia" w:ascii="仿宋" w:hAnsi="仿宋" w:eastAsia="仿宋" w:cs="仿宋"/>
          <w:sz w:val="28"/>
          <w:szCs w:val="28"/>
          <w:lang w:val="en-US" w:eastAsia="zh-CN"/>
        </w:rPr>
        <w:t>检测</w:t>
      </w:r>
      <w:r>
        <w:rPr>
          <w:rFonts w:hint="eastAsia" w:ascii="仿宋" w:hAnsi="仿宋" w:eastAsia="仿宋" w:cs="仿宋"/>
          <w:sz w:val="28"/>
          <w:szCs w:val="28"/>
        </w:rPr>
        <w:t>数量，采购人按</w:t>
      </w:r>
      <w:r>
        <w:rPr>
          <w:rFonts w:hint="eastAsia" w:ascii="仿宋" w:hAnsi="仿宋" w:eastAsia="仿宋" w:cs="仿宋"/>
          <w:sz w:val="28"/>
          <w:szCs w:val="28"/>
          <w:u w:val="single"/>
          <w:lang w:val="en-US" w:eastAsia="zh-CN"/>
        </w:rPr>
        <w:t xml:space="preserve"> 项目检测数量</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成交单价</w:t>
      </w:r>
      <w:r>
        <w:rPr>
          <w:rFonts w:hint="eastAsia" w:ascii="仿宋" w:hAnsi="仿宋" w:eastAsia="仿宋" w:cs="仿宋"/>
          <w:sz w:val="28"/>
          <w:szCs w:val="28"/>
        </w:rPr>
        <w:t>支付给成交人，</w:t>
      </w:r>
    </w:p>
    <w:p>
      <w:pPr>
        <w:pStyle w:val="6"/>
        <w:keepNext w:val="0"/>
        <w:keepLines w:val="0"/>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cs="仿宋"/>
          <w:sz w:val="28"/>
          <w:szCs w:val="28"/>
          <w:lang w:val="en-US" w:eastAsia="zh-CN"/>
        </w:rPr>
        <w:t>（三）</w:t>
      </w:r>
      <w:r>
        <w:rPr>
          <w:rFonts w:hint="eastAsia" w:ascii="仿宋" w:hAnsi="仿宋" w:eastAsia="仿宋" w:cs="仿宋"/>
          <w:sz w:val="28"/>
          <w:szCs w:val="28"/>
        </w:rPr>
        <w:t>付款方式：根据双方确认结算清单开具有效发票，收到发票后三十个工作日内，按发票金额以银行转账方式结算。</w:t>
      </w:r>
    </w:p>
    <w:p>
      <w:pPr>
        <w:keepNext w:val="0"/>
        <w:keepLines w:val="0"/>
        <w:pageBreakBefore w:val="0"/>
        <w:kinsoku/>
        <w:wordWrap/>
        <w:overflowPunct/>
        <w:topLinePunct w:val="0"/>
        <w:bidi w:val="0"/>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四、报价</w:t>
      </w:r>
      <w:r>
        <w:rPr>
          <w:rFonts w:hint="eastAsia" w:ascii="仿宋" w:hAnsi="仿宋" w:eastAsia="仿宋" w:cs="仿宋"/>
          <w:b/>
          <w:bCs/>
          <w:sz w:val="28"/>
          <w:szCs w:val="28"/>
        </w:rPr>
        <w:t>要求</w:t>
      </w:r>
    </w:p>
    <w:tbl>
      <w:tblPr>
        <w:tblStyle w:val="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485"/>
        <w:gridCol w:w="1889"/>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2"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编号</w:t>
            </w:r>
          </w:p>
        </w:tc>
        <w:tc>
          <w:tcPr>
            <w:tcW w:w="4485"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项目名称</w:t>
            </w:r>
          </w:p>
        </w:tc>
        <w:tc>
          <w:tcPr>
            <w:tcW w:w="1889" w:type="dxa"/>
            <w:tcBorders>
              <w:tl2br w:val="nil"/>
              <w:tr2bl w:val="nil"/>
            </w:tcBorders>
            <w:noWrap w:val="0"/>
            <w:vAlign w:val="center"/>
          </w:tcPr>
          <w:p>
            <w:pPr>
              <w:keepNext w:val="0"/>
              <w:keepLines w:val="0"/>
              <w:pageBreakBefore w:val="0"/>
              <w:widowControl/>
              <w:kinsoku/>
              <w:wordWrap/>
              <w:overflowPunct/>
              <w:topLinePunct w:val="0"/>
              <w:bidi w:val="0"/>
              <w:spacing w:line="500" w:lineRule="exact"/>
              <w:ind w:firstLine="281" w:firstLineChars="100"/>
              <w:jc w:val="both"/>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最高限价</w:t>
            </w:r>
          </w:p>
        </w:tc>
        <w:tc>
          <w:tcPr>
            <w:tcW w:w="1777"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82"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4485"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kern w:val="0"/>
                <w:sz w:val="28"/>
                <w:szCs w:val="28"/>
                <w:lang w:eastAsia="zh-Hans"/>
              </w:rPr>
              <w:t>新型冠状病毒RNA测定（单样检测）</w:t>
            </w:r>
          </w:p>
        </w:tc>
        <w:tc>
          <w:tcPr>
            <w:tcW w:w="1889"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32.5元/人份</w:t>
            </w:r>
          </w:p>
        </w:tc>
        <w:tc>
          <w:tcPr>
            <w:tcW w:w="1777"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82"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4485"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000000"/>
                <w:kern w:val="0"/>
                <w:sz w:val="28"/>
                <w:szCs w:val="28"/>
              </w:rPr>
            </w:pPr>
            <w:r>
              <w:rPr>
                <w:rFonts w:hint="eastAsia" w:ascii="仿宋" w:hAnsi="仿宋" w:eastAsia="仿宋" w:cs="仿宋"/>
                <w:kern w:val="0"/>
                <w:sz w:val="28"/>
                <w:szCs w:val="28"/>
                <w:lang w:eastAsia="zh-Hans"/>
              </w:rPr>
              <w:t>新型冠状病毒RNA测定（</w:t>
            </w:r>
            <w:r>
              <w:rPr>
                <w:rFonts w:hint="eastAsia" w:ascii="仿宋" w:hAnsi="仿宋" w:eastAsia="仿宋" w:cs="仿宋"/>
                <w:kern w:val="0"/>
                <w:sz w:val="28"/>
                <w:szCs w:val="28"/>
                <w:lang w:val="en-US" w:eastAsia="zh-CN"/>
              </w:rPr>
              <w:t>混</w:t>
            </w:r>
            <w:r>
              <w:rPr>
                <w:rFonts w:hint="eastAsia" w:ascii="仿宋" w:hAnsi="仿宋" w:eastAsia="仿宋" w:cs="仿宋"/>
                <w:kern w:val="0"/>
                <w:sz w:val="28"/>
                <w:szCs w:val="28"/>
                <w:lang w:eastAsia="zh-Hans"/>
              </w:rPr>
              <w:t>样检测）</w:t>
            </w:r>
          </w:p>
        </w:tc>
        <w:tc>
          <w:tcPr>
            <w:tcW w:w="1889"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8元/人份</w:t>
            </w:r>
          </w:p>
        </w:tc>
        <w:tc>
          <w:tcPr>
            <w:tcW w:w="1777" w:type="dxa"/>
            <w:tcBorders>
              <w:tl2br w:val="nil"/>
              <w:tr2bl w:val="nil"/>
            </w:tcBorders>
            <w:noWrap w:val="0"/>
            <w:vAlign w:val="center"/>
          </w:tcPr>
          <w:p>
            <w:pPr>
              <w:keepNext w:val="0"/>
              <w:keepLines w:val="0"/>
              <w:pageBreakBefore w:val="0"/>
              <w:widowControl/>
              <w:kinsoku/>
              <w:wordWrap/>
              <w:overflowPunct/>
              <w:topLinePunct w:val="0"/>
              <w:bidi w:val="0"/>
              <w:spacing w:line="50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包括10:1、5:1及其它所有比例混采的样本</w:t>
            </w:r>
          </w:p>
        </w:tc>
      </w:tr>
    </w:tbl>
    <w:p>
      <w:pPr>
        <w:keepNext w:val="0"/>
        <w:keepLines w:val="0"/>
        <w:pageBreakBefore w:val="0"/>
        <w:kinsoku/>
        <w:wordWrap/>
        <w:overflowPunct/>
        <w:topLinePunct w:val="0"/>
        <w:bidi w:val="0"/>
        <w:spacing w:line="500" w:lineRule="exact"/>
        <w:ind w:firstLine="281" w:firstLineChars="100"/>
        <w:textAlignment w:val="auto"/>
        <w:rPr>
          <w:rFonts w:hint="eastAsia" w:ascii="仿宋" w:hAnsi="仿宋" w:eastAsia="仿宋" w:cs="仿宋"/>
          <w:b/>
          <w:color w:val="auto"/>
          <w:sz w:val="28"/>
          <w:szCs w:val="28"/>
          <w:lang w:val="en-US" w:eastAsia="zh-CN"/>
        </w:rPr>
      </w:pPr>
    </w:p>
    <w:p>
      <w:pPr>
        <w:keepNext w:val="0"/>
        <w:keepLines w:val="0"/>
        <w:pageBreakBefore w:val="0"/>
        <w:kinsoku/>
        <w:wordWrap/>
        <w:overflowPunct/>
        <w:topLinePunct w:val="0"/>
        <w:bidi w:val="0"/>
        <w:spacing w:line="500" w:lineRule="exact"/>
        <w:ind w:firstLine="281" w:firstLineChars="100"/>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资格符合</w:t>
      </w:r>
      <w:r>
        <w:rPr>
          <w:rFonts w:hint="eastAsia" w:ascii="仿宋" w:hAnsi="仿宋" w:eastAsia="仿宋" w:cs="仿宋"/>
          <w:b/>
          <w:color w:val="auto"/>
          <w:sz w:val="28"/>
          <w:szCs w:val="28"/>
          <w:lang w:val="en-US" w:eastAsia="zh-CN"/>
        </w:rPr>
        <w:t>及评分</w:t>
      </w:r>
      <w:r>
        <w:rPr>
          <w:rFonts w:hint="eastAsia" w:ascii="仿宋" w:hAnsi="仿宋" w:eastAsia="仿宋" w:cs="仿宋"/>
          <w:b/>
          <w:color w:val="auto"/>
          <w:sz w:val="28"/>
          <w:szCs w:val="28"/>
        </w:rPr>
        <w:t>表</w:t>
      </w:r>
    </w:p>
    <w:p>
      <w:pPr>
        <w:pStyle w:val="3"/>
        <w:keepNext w:val="0"/>
        <w:keepLines w:val="0"/>
        <w:pageBreakBefore w:val="0"/>
        <w:kinsoku/>
        <w:wordWrap/>
        <w:overflowPunct/>
        <w:topLinePunct w:val="0"/>
        <w:bidi w:val="0"/>
        <w:spacing w:line="500" w:lineRule="exact"/>
        <w:ind w:firstLine="359"/>
        <w:jc w:val="left"/>
        <w:textAlignment w:val="auto"/>
        <w:rPr>
          <w:rFonts w:hint="eastAsia" w:ascii="仿宋" w:hAnsi="仿宋" w:eastAsia="仿宋" w:cs="仿宋"/>
          <w:b/>
          <w:color w:val="auto"/>
          <w:sz w:val="28"/>
          <w:szCs w:val="28"/>
          <w:lang w:val="en-US" w:eastAsia="zh-CN"/>
        </w:rPr>
      </w:pPr>
    </w:p>
    <w:p>
      <w:pPr>
        <w:pStyle w:val="3"/>
        <w:keepNext w:val="0"/>
        <w:keepLines w:val="0"/>
        <w:pageBreakBefore w:val="0"/>
        <w:kinsoku/>
        <w:wordWrap/>
        <w:overflowPunct/>
        <w:topLinePunct w:val="0"/>
        <w:bidi w:val="0"/>
        <w:spacing w:line="500" w:lineRule="exact"/>
        <w:ind w:firstLine="359"/>
        <w:jc w:val="left"/>
        <w:textAlignment w:val="auto"/>
        <w:rPr>
          <w:rFonts w:hint="eastAsia" w:ascii="仿宋" w:hAnsi="仿宋" w:eastAsia="仿宋" w:cs="仿宋"/>
          <w:b/>
          <w:color w:val="auto"/>
          <w:sz w:val="28"/>
          <w:szCs w:val="28"/>
          <w:lang w:val="en-US" w:eastAsia="zh-CN"/>
        </w:rPr>
      </w:pPr>
    </w:p>
    <w:p>
      <w:pPr>
        <w:pStyle w:val="3"/>
        <w:keepNext w:val="0"/>
        <w:keepLines w:val="0"/>
        <w:pageBreakBefore w:val="0"/>
        <w:kinsoku/>
        <w:wordWrap/>
        <w:overflowPunct/>
        <w:topLinePunct w:val="0"/>
        <w:bidi w:val="0"/>
        <w:spacing w:line="500" w:lineRule="exact"/>
        <w:ind w:firstLine="359"/>
        <w:jc w:val="left"/>
        <w:textAlignment w:val="auto"/>
        <w:rPr>
          <w:rFonts w:hint="eastAsia" w:ascii="仿宋" w:hAnsi="仿宋" w:eastAsia="仿宋" w:cs="仿宋"/>
          <w:b/>
          <w:color w:val="auto"/>
          <w:sz w:val="28"/>
          <w:szCs w:val="28"/>
          <w:lang w:val="en-US" w:eastAsia="zh-CN"/>
        </w:rPr>
      </w:pPr>
    </w:p>
    <w:p>
      <w:pPr>
        <w:pStyle w:val="3"/>
        <w:keepNext w:val="0"/>
        <w:keepLines w:val="0"/>
        <w:pageBreakBefore w:val="0"/>
        <w:kinsoku/>
        <w:wordWrap/>
        <w:overflowPunct/>
        <w:topLinePunct w:val="0"/>
        <w:bidi w:val="0"/>
        <w:spacing w:line="500" w:lineRule="exact"/>
        <w:ind w:firstLine="359"/>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（一）</w:t>
      </w:r>
      <w:r>
        <w:rPr>
          <w:rFonts w:hint="eastAsia" w:ascii="仿宋" w:hAnsi="仿宋" w:eastAsia="仿宋" w:cs="仿宋"/>
          <w:b/>
          <w:color w:val="auto"/>
          <w:sz w:val="28"/>
          <w:szCs w:val="28"/>
        </w:rPr>
        <w:t>《资格性及符合性检查表》</w:t>
      </w:r>
    </w:p>
    <w:tbl>
      <w:tblPr>
        <w:tblStyle w:val="7"/>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87" w:type="dxa"/>
            <w:noWrap w:val="0"/>
            <w:vAlign w:val="center"/>
          </w:tcPr>
          <w:p>
            <w:pPr>
              <w:keepNext w:val="0"/>
              <w:keepLines w:val="0"/>
              <w:pageBreakBefore w:val="0"/>
              <w:kinsoku/>
              <w:wordWrap/>
              <w:overflowPunct/>
              <w:topLinePunct w:val="0"/>
              <w:autoSpaceDE w:val="0"/>
              <w:autoSpaceDN w:val="0"/>
              <w:bidi w:val="0"/>
              <w:adjustRightInd w:val="0"/>
              <w:snapToGrid w:val="0"/>
              <w:spacing w:line="500" w:lineRule="exact"/>
              <w:ind w:right="32"/>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8218" w:type="dxa"/>
            <w:noWrap w:val="0"/>
            <w:vAlign w:val="center"/>
          </w:tcPr>
          <w:p>
            <w:pPr>
              <w:keepNext w:val="0"/>
              <w:keepLines w:val="0"/>
              <w:pageBreakBefore w:val="0"/>
              <w:kinsoku/>
              <w:wordWrap/>
              <w:overflowPunct/>
              <w:topLinePunct w:val="0"/>
              <w:autoSpaceDE w:val="0"/>
              <w:autoSpaceDN w:val="0"/>
              <w:bidi w:val="0"/>
              <w:adjustRightInd w:val="0"/>
              <w:snapToGrid w:val="0"/>
              <w:spacing w:line="500" w:lineRule="exact"/>
              <w:ind w:right="32"/>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pPr>
              <w:keepNext w:val="0"/>
              <w:keepLines w:val="0"/>
              <w:pageBreakBefore w:val="0"/>
              <w:kinsoku/>
              <w:wordWrap/>
              <w:overflowPunct/>
              <w:topLinePunct w:val="0"/>
              <w:autoSpaceDE w:val="0"/>
              <w:autoSpaceDN w:val="0"/>
              <w:bidi w:val="0"/>
              <w:adjustRightInd w:val="0"/>
              <w:snapToGrid w:val="0"/>
              <w:spacing w:line="500" w:lineRule="exact"/>
              <w:ind w:right="32"/>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8218" w:type="dxa"/>
            <w:noWrap w:val="0"/>
            <w:vAlign w:val="top"/>
          </w:tcPr>
          <w:p>
            <w:pPr>
              <w:keepNext w:val="0"/>
              <w:keepLines w:val="0"/>
              <w:pageBreakBefore w:val="0"/>
              <w:kinsoku/>
              <w:wordWrap/>
              <w:overflowPunct/>
              <w:topLinePunct w:val="0"/>
              <w:bidi w:val="0"/>
              <w:spacing w:line="500" w:lineRule="exac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1.</w:t>
            </w:r>
            <w:r>
              <w:rPr>
                <w:rFonts w:hint="eastAsia" w:ascii="仿宋" w:hAnsi="仿宋" w:eastAsia="仿宋" w:cs="仿宋"/>
                <w:color w:val="auto"/>
                <w:sz w:val="28"/>
                <w:szCs w:val="28"/>
                <w:lang w:val="zh-CN"/>
              </w:rPr>
              <w:t>对本项目的全部内容进行响应报价</w:t>
            </w:r>
          </w:p>
          <w:p>
            <w:pPr>
              <w:keepNext w:val="0"/>
              <w:keepLines w:val="0"/>
              <w:pageBreakBefore w:val="0"/>
              <w:kinsoku/>
              <w:wordWrap/>
              <w:overflowPunct/>
              <w:topLinePunct w:val="0"/>
              <w:bidi w:val="0"/>
              <w:spacing w:line="500" w:lineRule="exact"/>
              <w:textAlignment w:val="auto"/>
              <w:rPr>
                <w:rFonts w:hint="eastAsia" w:ascii="仿宋" w:hAnsi="仿宋" w:eastAsia="仿宋" w:cs="仿宋"/>
                <w:color w:val="auto"/>
                <w:sz w:val="28"/>
                <w:szCs w:val="28"/>
                <w:lang w:val="zh-CN"/>
              </w:rPr>
            </w:pPr>
            <w:r>
              <w:rPr>
                <w:rFonts w:hint="eastAsia" w:ascii="仿宋" w:hAnsi="仿宋" w:eastAsia="仿宋" w:cs="仿宋"/>
                <w:color w:val="auto"/>
                <w:kern w:val="0"/>
                <w:sz w:val="28"/>
                <w:szCs w:val="28"/>
              </w:rPr>
              <w:t>2.响应报价</w:t>
            </w:r>
            <w:r>
              <w:rPr>
                <w:rFonts w:hint="eastAsia" w:ascii="仿宋" w:hAnsi="仿宋" w:eastAsia="仿宋" w:cs="仿宋"/>
                <w:color w:val="auto"/>
                <w:kern w:val="0"/>
                <w:sz w:val="28"/>
                <w:szCs w:val="28"/>
                <w:lang w:val="en-US" w:eastAsia="zh-CN"/>
              </w:rPr>
              <w:t>不超过最高限价</w:t>
            </w:r>
            <w:r>
              <w:rPr>
                <w:rFonts w:hint="eastAsia" w:ascii="仿宋" w:hAnsi="仿宋" w:eastAsia="仿宋" w:cs="仿宋"/>
                <w:color w:val="auto"/>
                <w:kern w:val="0"/>
                <w:sz w:val="28"/>
                <w:szCs w:val="28"/>
              </w:rPr>
              <w:t>,且</w:t>
            </w:r>
            <w:r>
              <w:rPr>
                <w:rFonts w:hint="eastAsia" w:ascii="仿宋" w:hAnsi="仿宋" w:eastAsia="仿宋" w:cs="仿宋"/>
                <w:color w:val="auto"/>
                <w:sz w:val="28"/>
                <w:szCs w:val="28"/>
              </w:rPr>
              <w:t>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pPr>
              <w:keepNext w:val="0"/>
              <w:keepLines w:val="0"/>
              <w:pageBreakBefore w:val="0"/>
              <w:kinsoku/>
              <w:wordWrap/>
              <w:overflowPunct/>
              <w:topLinePunct w:val="0"/>
              <w:autoSpaceDE w:val="0"/>
              <w:autoSpaceDN w:val="0"/>
              <w:bidi w:val="0"/>
              <w:adjustRightInd w:val="0"/>
              <w:snapToGrid w:val="0"/>
              <w:spacing w:line="500" w:lineRule="exact"/>
              <w:ind w:right="32"/>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8218" w:type="dxa"/>
            <w:noWrap w:val="0"/>
            <w:vAlign w:val="top"/>
          </w:tcPr>
          <w:p>
            <w:pPr>
              <w:keepNext w:val="0"/>
              <w:keepLines w:val="0"/>
              <w:pageBreakBefore w:val="0"/>
              <w:kinsoku/>
              <w:wordWrap/>
              <w:overflowPunct/>
              <w:topLinePunct w:val="0"/>
              <w:bidi w:val="0"/>
              <w:spacing w:line="500" w:lineRule="exac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准入条件：</w:t>
            </w:r>
          </w:p>
          <w:p>
            <w:pPr>
              <w:keepNext w:val="0"/>
              <w:keepLines w:val="0"/>
              <w:pageBreakBefore w:val="0"/>
              <w:kinsoku/>
              <w:wordWrap/>
              <w:overflowPunct/>
              <w:topLinePunct w:val="0"/>
              <w:bidi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必须是在工商部门登记注册的独立法人，具备承担法律责任的完全民事行为能力。提供营业执照副本复印件、税务登记证副本复印件、组织机构代码证复印件、法定代表身份证复印件（正反两面的复印件）、响应代表身份证复印件（正反两面的复印件）以及法定代表人授权书原件（若是法定代表人亲自参加则无需提供）；</w:t>
            </w:r>
          </w:p>
          <w:p>
            <w:pPr>
              <w:keepNext w:val="0"/>
              <w:keepLines w:val="0"/>
              <w:pageBreakBefore w:val="0"/>
              <w:kinsoku/>
              <w:wordWrap/>
              <w:overflowPunct/>
              <w:topLinePunct w:val="0"/>
              <w:bidi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2.具备从事医学检验、检测的资质。提供《医疗机构执业许可证》复印件；</w:t>
            </w:r>
          </w:p>
          <w:p>
            <w:pPr>
              <w:keepNext w:val="0"/>
              <w:keepLines w:val="0"/>
              <w:pageBreakBefore w:val="0"/>
              <w:kinsoku/>
              <w:wordWrap/>
              <w:overflowPunct/>
              <w:topLinePunct w:val="0"/>
              <w:bidi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3.未被列入“信用中国”网站(www.creditchina.gov.cn)失信被执行人名单、重大税收违法案件当事人名单、政府采购严重违法失信行为记录名单和中国政府采购网(www.ccgp.gov.cn)政府采购严重违法失信行为记录名单。</w:t>
            </w:r>
          </w:p>
        </w:tc>
      </w:tr>
    </w:tbl>
    <w:p>
      <w:pPr>
        <w:pStyle w:val="3"/>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b/>
          <w:color w:val="auto"/>
          <w:sz w:val="28"/>
          <w:szCs w:val="28"/>
        </w:rPr>
      </w:pPr>
    </w:p>
    <w:p>
      <w:pPr>
        <w:pStyle w:val="3"/>
        <w:keepNext w:val="0"/>
        <w:keepLines w:val="0"/>
        <w:pageBreakBefore w:val="0"/>
        <w:kinsoku/>
        <w:wordWrap/>
        <w:overflowPunct/>
        <w:topLinePunct w:val="0"/>
        <w:bidi w:val="0"/>
        <w:spacing w:line="500" w:lineRule="exact"/>
        <w:ind w:firstLine="359"/>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（二）</w:t>
      </w:r>
      <w:r>
        <w:rPr>
          <w:rFonts w:hint="eastAsia" w:ascii="仿宋" w:hAnsi="仿宋" w:eastAsia="仿宋" w:cs="仿宋"/>
          <w:b/>
          <w:color w:val="auto"/>
          <w:sz w:val="28"/>
          <w:szCs w:val="28"/>
        </w:rPr>
        <w:t>评分表</w:t>
      </w:r>
    </w:p>
    <w:tbl>
      <w:tblPr>
        <w:tblStyle w:val="7"/>
        <w:tblW w:w="8998" w:type="dxa"/>
        <w:jc w:val="center"/>
        <w:tblLayout w:type="fixed"/>
        <w:tblCellMar>
          <w:top w:w="0" w:type="dxa"/>
          <w:left w:w="108" w:type="dxa"/>
          <w:bottom w:w="0" w:type="dxa"/>
          <w:right w:w="108" w:type="dxa"/>
        </w:tblCellMar>
      </w:tblPr>
      <w:tblGrid>
        <w:gridCol w:w="814"/>
        <w:gridCol w:w="1526"/>
        <w:gridCol w:w="5508"/>
        <w:gridCol w:w="1150"/>
      </w:tblGrid>
      <w:tr>
        <w:tblPrEx>
          <w:tblCellMar>
            <w:top w:w="0" w:type="dxa"/>
            <w:left w:w="108" w:type="dxa"/>
            <w:bottom w:w="0" w:type="dxa"/>
            <w:right w:w="108" w:type="dxa"/>
          </w:tblCellMar>
        </w:tblPrEx>
        <w:trPr>
          <w:trHeight w:val="410" w:hRule="atLeast"/>
          <w:jc w:val="center"/>
        </w:trPr>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序号</w:t>
            </w:r>
          </w:p>
        </w:tc>
        <w:tc>
          <w:tcPr>
            <w:tcW w:w="152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评审内容</w:t>
            </w:r>
          </w:p>
        </w:tc>
        <w:tc>
          <w:tcPr>
            <w:tcW w:w="55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评分标准</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分值</w:t>
            </w:r>
          </w:p>
        </w:tc>
      </w:tr>
      <w:tr>
        <w:tblPrEx>
          <w:tblCellMar>
            <w:top w:w="0" w:type="dxa"/>
            <w:left w:w="108" w:type="dxa"/>
            <w:bottom w:w="0" w:type="dxa"/>
            <w:right w:w="108" w:type="dxa"/>
          </w:tblCellMar>
        </w:tblPrEx>
        <w:trPr>
          <w:trHeight w:val="312"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b/>
                <w:bCs/>
                <w:color w:val="auto"/>
                <w:kern w:val="0"/>
                <w:sz w:val="28"/>
                <w:szCs w:val="28"/>
              </w:rPr>
            </w:pPr>
          </w:p>
        </w:tc>
        <w:tc>
          <w:tcPr>
            <w:tcW w:w="152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b/>
                <w:bCs/>
                <w:color w:val="auto"/>
                <w:kern w:val="0"/>
                <w:sz w:val="28"/>
                <w:szCs w:val="28"/>
              </w:rPr>
            </w:pPr>
          </w:p>
        </w:tc>
        <w:tc>
          <w:tcPr>
            <w:tcW w:w="55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b/>
                <w:bCs/>
                <w:color w:val="auto"/>
                <w:kern w:val="0"/>
                <w:sz w:val="28"/>
                <w:szCs w:val="28"/>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b/>
                <w:bCs/>
                <w:color w:val="auto"/>
                <w:kern w:val="0"/>
                <w:sz w:val="28"/>
                <w:szCs w:val="28"/>
              </w:rPr>
            </w:pPr>
          </w:p>
        </w:tc>
      </w:tr>
      <w:tr>
        <w:tblPrEx>
          <w:tblCellMar>
            <w:top w:w="0" w:type="dxa"/>
            <w:left w:w="108" w:type="dxa"/>
            <w:bottom w:w="0" w:type="dxa"/>
            <w:right w:w="108" w:type="dxa"/>
          </w:tblCellMar>
        </w:tblPrEx>
        <w:trPr>
          <w:trHeight w:val="839" w:hRule="atLeast"/>
          <w:jc w:val="center"/>
        </w:trPr>
        <w:tc>
          <w:tcPr>
            <w:tcW w:w="8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152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sz w:val="28"/>
                <w:szCs w:val="28"/>
                <w:lang w:val="en-US" w:eastAsia="zh-CN"/>
              </w:rPr>
              <w:t>实验室能力评价</w:t>
            </w:r>
            <w:r>
              <w:rPr>
                <w:rFonts w:hint="eastAsia" w:ascii="仿宋" w:hAnsi="仿宋" w:eastAsia="仿宋" w:cs="仿宋"/>
                <w:b/>
                <w:bCs/>
                <w:color w:val="auto"/>
                <w:kern w:val="0"/>
                <w:sz w:val="28"/>
                <w:szCs w:val="28"/>
              </w:rPr>
              <w:br w:type="textWrapping"/>
            </w:r>
            <w:r>
              <w:rPr>
                <w:rFonts w:hint="eastAsia" w:ascii="仿宋" w:hAnsi="仿宋" w:eastAsia="仿宋" w:cs="仿宋"/>
                <w:b/>
                <w:bCs/>
                <w:color w:val="auto"/>
                <w:kern w:val="0"/>
                <w:sz w:val="28"/>
                <w:szCs w:val="28"/>
              </w:rPr>
              <w:t>（</w:t>
            </w:r>
            <w:r>
              <w:rPr>
                <w:rFonts w:hint="eastAsia" w:ascii="仿宋" w:hAnsi="仿宋" w:eastAsia="仿宋" w:cs="仿宋"/>
                <w:b/>
                <w:bCs/>
                <w:color w:val="auto"/>
                <w:kern w:val="0"/>
                <w:sz w:val="28"/>
                <w:szCs w:val="28"/>
                <w:lang w:val="en-US" w:eastAsia="zh-CN"/>
              </w:rPr>
              <w:t>4</w:t>
            </w:r>
            <w:r>
              <w:rPr>
                <w:rFonts w:hint="eastAsia" w:ascii="仿宋" w:hAnsi="仿宋" w:eastAsia="仿宋" w:cs="仿宋"/>
                <w:b/>
                <w:bCs/>
                <w:color w:val="auto"/>
                <w:kern w:val="0"/>
                <w:sz w:val="28"/>
                <w:szCs w:val="28"/>
              </w:rPr>
              <w:t>0分）</w:t>
            </w:r>
          </w:p>
        </w:tc>
        <w:tc>
          <w:tcPr>
            <w:tcW w:w="55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rPr>
              <w:t>通过中国合格评定国家认可委员会(CNAS)ISO15189认可，并提供证书</w:t>
            </w:r>
            <w:r>
              <w:rPr>
                <w:rFonts w:hint="eastAsia" w:ascii="仿宋" w:hAnsi="仿宋" w:eastAsia="仿宋" w:cs="仿宋"/>
                <w:color w:val="auto"/>
                <w:sz w:val="28"/>
                <w:szCs w:val="28"/>
                <w:lang w:val="en-US" w:eastAsia="zh-CN"/>
              </w:rPr>
              <w:t>复印件及</w:t>
            </w:r>
            <w:r>
              <w:rPr>
                <w:rFonts w:hint="eastAsia" w:ascii="仿宋" w:hAnsi="仿宋" w:eastAsia="仿宋" w:cs="仿宋"/>
                <w:color w:val="auto"/>
                <w:sz w:val="28"/>
                <w:szCs w:val="28"/>
              </w:rPr>
              <w:t>加盖公章</w:t>
            </w: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rPr>
              <w:t>无不得分</w:t>
            </w:r>
            <w:r>
              <w:rPr>
                <w:rFonts w:hint="eastAsia" w:ascii="仿宋" w:hAnsi="仿宋" w:eastAsia="仿宋" w:cs="仿宋"/>
                <w:color w:val="auto"/>
                <w:kern w:val="0"/>
                <w:sz w:val="28"/>
                <w:szCs w:val="28"/>
                <w:lang w:eastAsia="zh-CN"/>
              </w:rPr>
              <w:t>。</w:t>
            </w:r>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0</w:t>
            </w:r>
          </w:p>
        </w:tc>
      </w:tr>
      <w:tr>
        <w:tblPrEx>
          <w:tblCellMar>
            <w:top w:w="0" w:type="dxa"/>
            <w:left w:w="108" w:type="dxa"/>
            <w:bottom w:w="0" w:type="dxa"/>
            <w:right w:w="108" w:type="dxa"/>
          </w:tblCellMar>
        </w:tblPrEx>
        <w:trPr>
          <w:trHeight w:val="847" w:hRule="atLeast"/>
          <w:jc w:val="center"/>
        </w:trPr>
        <w:tc>
          <w:tcPr>
            <w:tcW w:w="8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152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p>
        </w:tc>
        <w:tc>
          <w:tcPr>
            <w:tcW w:w="55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具备</w:t>
            </w:r>
            <w:r>
              <w:rPr>
                <w:rFonts w:hint="eastAsia" w:ascii="仿宋" w:hAnsi="仿宋" w:eastAsia="仿宋" w:cs="仿宋"/>
                <w:b w:val="0"/>
                <w:bCs/>
                <w:color w:val="auto"/>
                <w:kern w:val="0"/>
                <w:sz w:val="28"/>
                <w:szCs w:val="28"/>
                <w:lang w:val="en-US" w:eastAsia="zh-CN" w:bidi="ar"/>
              </w:rPr>
              <w:t>临床检验中心颁发 PCR 临床基因扩增检验实验室验收合格证书，</w:t>
            </w:r>
            <w:r>
              <w:rPr>
                <w:rFonts w:hint="eastAsia" w:ascii="仿宋" w:hAnsi="仿宋" w:eastAsia="仿宋" w:cs="仿宋"/>
                <w:color w:val="auto"/>
                <w:sz w:val="28"/>
                <w:szCs w:val="28"/>
              </w:rPr>
              <w:t>并提供证书</w:t>
            </w:r>
            <w:r>
              <w:rPr>
                <w:rFonts w:hint="eastAsia" w:ascii="仿宋" w:hAnsi="仿宋" w:eastAsia="仿宋" w:cs="仿宋"/>
                <w:color w:val="auto"/>
                <w:sz w:val="28"/>
                <w:szCs w:val="28"/>
                <w:lang w:val="en-US" w:eastAsia="zh-CN"/>
              </w:rPr>
              <w:t>复印件及</w:t>
            </w:r>
            <w:r>
              <w:rPr>
                <w:rFonts w:hint="eastAsia" w:ascii="仿宋" w:hAnsi="仿宋" w:eastAsia="仿宋" w:cs="仿宋"/>
                <w:color w:val="auto"/>
                <w:sz w:val="28"/>
                <w:szCs w:val="28"/>
              </w:rPr>
              <w:t>加盖公章</w:t>
            </w: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rPr>
              <w:t>无不得分</w:t>
            </w:r>
            <w:r>
              <w:rPr>
                <w:rFonts w:hint="eastAsia" w:ascii="仿宋" w:hAnsi="仿宋" w:eastAsia="仿宋" w:cs="仿宋"/>
                <w:color w:val="auto"/>
                <w:kern w:val="0"/>
                <w:sz w:val="28"/>
                <w:szCs w:val="28"/>
                <w:lang w:eastAsia="zh-CN"/>
              </w:rPr>
              <w:t>。</w:t>
            </w:r>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0</w:t>
            </w:r>
          </w:p>
        </w:tc>
      </w:tr>
      <w:tr>
        <w:tblPrEx>
          <w:tblCellMar>
            <w:top w:w="0" w:type="dxa"/>
            <w:left w:w="108" w:type="dxa"/>
            <w:bottom w:w="0" w:type="dxa"/>
            <w:right w:w="108" w:type="dxa"/>
          </w:tblCellMar>
        </w:tblPrEx>
        <w:trPr>
          <w:trHeight w:val="1154" w:hRule="atLeast"/>
          <w:jc w:val="center"/>
        </w:trPr>
        <w:tc>
          <w:tcPr>
            <w:tcW w:w="8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152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p>
        </w:tc>
        <w:tc>
          <w:tcPr>
            <w:tcW w:w="55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rPr>
              <w:t>具备国家发改委批准的</w:t>
            </w:r>
            <w:r>
              <w:rPr>
                <w:rFonts w:hint="eastAsia" w:ascii="仿宋" w:hAnsi="仿宋" w:eastAsia="仿宋" w:cs="仿宋"/>
                <w:color w:val="auto"/>
                <w:sz w:val="28"/>
                <w:szCs w:val="28"/>
                <w:lang w:val="en-US" w:eastAsia="zh-CN"/>
              </w:rPr>
              <w:t>广东省（省级）</w:t>
            </w:r>
            <w:r>
              <w:rPr>
                <w:rFonts w:hint="eastAsia" w:ascii="仿宋" w:hAnsi="仿宋" w:eastAsia="仿宋" w:cs="仿宋"/>
                <w:color w:val="auto"/>
                <w:sz w:val="28"/>
                <w:szCs w:val="28"/>
              </w:rPr>
              <w:t>基因检测技术应用示范中心及项目牵头建设单位资质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并提供证书</w:t>
            </w:r>
            <w:r>
              <w:rPr>
                <w:rFonts w:hint="eastAsia" w:ascii="仿宋" w:hAnsi="仿宋" w:eastAsia="仿宋" w:cs="仿宋"/>
                <w:color w:val="auto"/>
                <w:sz w:val="28"/>
                <w:szCs w:val="28"/>
                <w:lang w:val="en-US" w:eastAsia="zh-CN"/>
              </w:rPr>
              <w:t>复印件及</w:t>
            </w:r>
            <w:r>
              <w:rPr>
                <w:rFonts w:hint="eastAsia" w:ascii="仿宋" w:hAnsi="仿宋" w:eastAsia="仿宋" w:cs="仿宋"/>
                <w:color w:val="auto"/>
                <w:sz w:val="28"/>
                <w:szCs w:val="28"/>
              </w:rPr>
              <w:t>加盖公章</w:t>
            </w: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rPr>
              <w:t>无不得分</w:t>
            </w:r>
            <w:r>
              <w:rPr>
                <w:rFonts w:hint="eastAsia" w:ascii="仿宋" w:hAnsi="仿宋" w:eastAsia="仿宋" w:cs="仿宋"/>
                <w:color w:val="auto"/>
                <w:kern w:val="0"/>
                <w:sz w:val="28"/>
                <w:szCs w:val="28"/>
                <w:lang w:eastAsia="zh-CN"/>
              </w:rPr>
              <w:t>。</w:t>
            </w:r>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10</w:t>
            </w:r>
          </w:p>
        </w:tc>
      </w:tr>
      <w:tr>
        <w:tblPrEx>
          <w:tblCellMar>
            <w:top w:w="0" w:type="dxa"/>
            <w:left w:w="108" w:type="dxa"/>
            <w:bottom w:w="0" w:type="dxa"/>
            <w:right w:w="108" w:type="dxa"/>
          </w:tblCellMar>
        </w:tblPrEx>
        <w:trPr>
          <w:trHeight w:val="869" w:hRule="atLeast"/>
          <w:jc w:val="center"/>
        </w:trPr>
        <w:tc>
          <w:tcPr>
            <w:tcW w:w="8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152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p>
        </w:tc>
        <w:tc>
          <w:tcPr>
            <w:tcW w:w="55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具备</w:t>
            </w:r>
            <w:r>
              <w:rPr>
                <w:rFonts w:hint="eastAsia" w:ascii="仿宋" w:hAnsi="仿宋" w:eastAsia="仿宋" w:cs="仿宋"/>
                <w:color w:val="auto"/>
                <w:sz w:val="28"/>
                <w:szCs w:val="28"/>
                <w:lang w:val="en-US" w:eastAsia="zh-CN"/>
              </w:rPr>
              <w:t>国家</w:t>
            </w:r>
            <w:r>
              <w:rPr>
                <w:rFonts w:hint="eastAsia" w:ascii="仿宋" w:hAnsi="仿宋" w:eastAsia="仿宋" w:cs="仿宋"/>
                <w:color w:val="auto"/>
                <w:sz w:val="28"/>
                <w:szCs w:val="28"/>
              </w:rPr>
              <w:t>《GB/T28842-2012药品冷链物流运作规范》标准试点资质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并提供证书</w:t>
            </w:r>
            <w:r>
              <w:rPr>
                <w:rFonts w:hint="eastAsia" w:ascii="仿宋" w:hAnsi="仿宋" w:eastAsia="仿宋" w:cs="仿宋"/>
                <w:color w:val="auto"/>
                <w:sz w:val="28"/>
                <w:szCs w:val="28"/>
                <w:lang w:val="en-US" w:eastAsia="zh-CN"/>
              </w:rPr>
              <w:t>复印件及</w:t>
            </w:r>
            <w:r>
              <w:rPr>
                <w:rFonts w:hint="eastAsia" w:ascii="仿宋" w:hAnsi="仿宋" w:eastAsia="仿宋" w:cs="仿宋"/>
                <w:color w:val="auto"/>
                <w:sz w:val="28"/>
                <w:szCs w:val="28"/>
              </w:rPr>
              <w:t>加盖公章</w:t>
            </w: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rPr>
              <w:t>无不得分</w:t>
            </w:r>
            <w:r>
              <w:rPr>
                <w:rFonts w:hint="eastAsia" w:ascii="仿宋" w:hAnsi="仿宋" w:eastAsia="仿宋" w:cs="仿宋"/>
                <w:color w:val="auto"/>
                <w:kern w:val="0"/>
                <w:sz w:val="28"/>
                <w:szCs w:val="28"/>
                <w:lang w:eastAsia="zh-CN"/>
              </w:rPr>
              <w:t>。</w:t>
            </w:r>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10</w:t>
            </w:r>
          </w:p>
        </w:tc>
      </w:tr>
      <w:tr>
        <w:tblPrEx>
          <w:tblCellMar>
            <w:top w:w="0" w:type="dxa"/>
            <w:left w:w="108" w:type="dxa"/>
            <w:bottom w:w="0" w:type="dxa"/>
            <w:right w:w="108" w:type="dxa"/>
          </w:tblCellMar>
        </w:tblPrEx>
        <w:trPr>
          <w:trHeight w:val="1154" w:hRule="atLeast"/>
          <w:jc w:val="center"/>
        </w:trPr>
        <w:tc>
          <w:tcPr>
            <w:tcW w:w="8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152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技术方案评价</w:t>
            </w:r>
          </w:p>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（2</w:t>
            </w:r>
            <w:r>
              <w:rPr>
                <w:rFonts w:hint="eastAsia" w:ascii="仿宋" w:hAnsi="仿宋" w:eastAsia="仿宋" w:cs="仿宋"/>
                <w:b/>
                <w:bCs/>
                <w:color w:val="auto"/>
                <w:kern w:val="0"/>
                <w:sz w:val="28"/>
                <w:szCs w:val="28"/>
                <w:lang w:val="en-US" w:eastAsia="zh-CN"/>
              </w:rPr>
              <w:t>0</w:t>
            </w:r>
            <w:r>
              <w:rPr>
                <w:rFonts w:hint="eastAsia" w:ascii="仿宋" w:hAnsi="仿宋" w:eastAsia="仿宋" w:cs="仿宋"/>
                <w:b/>
                <w:bCs/>
                <w:color w:val="auto"/>
                <w:kern w:val="0"/>
                <w:sz w:val="28"/>
                <w:szCs w:val="28"/>
              </w:rPr>
              <w:t>分）</w:t>
            </w:r>
          </w:p>
        </w:tc>
        <w:tc>
          <w:tcPr>
            <w:tcW w:w="55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根据所提供</w:t>
            </w:r>
            <w:r>
              <w:rPr>
                <w:rFonts w:hint="eastAsia" w:ascii="仿宋" w:hAnsi="仿宋" w:eastAsia="仿宋" w:cs="仿宋"/>
                <w:color w:val="auto"/>
                <w:kern w:val="0"/>
                <w:sz w:val="28"/>
                <w:szCs w:val="28"/>
                <w:lang w:val="en-US" w:eastAsia="zh-CN"/>
              </w:rPr>
              <w:t>技术方案打分：</w:t>
            </w:r>
            <w:r>
              <w:rPr>
                <w:rFonts w:hint="eastAsia" w:ascii="仿宋" w:hAnsi="仿宋" w:eastAsia="仿宋" w:cs="仿宋"/>
                <w:color w:val="auto"/>
                <w:kern w:val="0"/>
                <w:sz w:val="28"/>
                <w:szCs w:val="28"/>
              </w:rPr>
              <w:t>优得</w:t>
            </w:r>
            <w:r>
              <w:rPr>
                <w:rFonts w:hint="eastAsia" w:ascii="仿宋" w:hAnsi="仿宋" w:eastAsia="仿宋" w:cs="仿宋"/>
                <w:color w:val="auto"/>
                <w:kern w:val="0"/>
                <w:sz w:val="28"/>
                <w:szCs w:val="28"/>
                <w:lang w:val="en-US" w:eastAsia="zh-CN"/>
              </w:rPr>
              <w:t>20</w:t>
            </w:r>
            <w:r>
              <w:rPr>
                <w:rFonts w:hint="eastAsia" w:ascii="仿宋" w:hAnsi="仿宋" w:eastAsia="仿宋" w:cs="仿宋"/>
                <w:color w:val="auto"/>
                <w:kern w:val="0"/>
                <w:sz w:val="28"/>
                <w:szCs w:val="28"/>
              </w:rPr>
              <w:t>分，良得</w:t>
            </w:r>
            <w:r>
              <w:rPr>
                <w:rFonts w:hint="eastAsia" w:ascii="仿宋" w:hAnsi="仿宋" w:eastAsia="仿宋" w:cs="仿宋"/>
                <w:color w:val="auto"/>
                <w:kern w:val="0"/>
                <w:sz w:val="28"/>
                <w:szCs w:val="28"/>
                <w:lang w:val="en-US" w:eastAsia="zh-CN"/>
              </w:rPr>
              <w:t>10-15</w:t>
            </w:r>
            <w:r>
              <w:rPr>
                <w:rFonts w:hint="eastAsia" w:ascii="仿宋" w:hAnsi="仿宋" w:eastAsia="仿宋" w:cs="仿宋"/>
                <w:color w:val="auto"/>
                <w:kern w:val="0"/>
                <w:sz w:val="28"/>
                <w:szCs w:val="28"/>
              </w:rPr>
              <w:t>分，一般</w:t>
            </w:r>
            <w:r>
              <w:rPr>
                <w:rFonts w:hint="eastAsia" w:ascii="仿宋" w:hAnsi="仿宋" w:eastAsia="仿宋" w:cs="仿宋"/>
                <w:color w:val="auto"/>
                <w:kern w:val="0"/>
                <w:sz w:val="28"/>
                <w:szCs w:val="28"/>
                <w:lang w:val="en-US" w:eastAsia="zh-CN"/>
              </w:rPr>
              <w:t>得5-10</w:t>
            </w:r>
            <w:r>
              <w:rPr>
                <w:rFonts w:hint="eastAsia" w:ascii="仿宋" w:hAnsi="仿宋" w:eastAsia="仿宋" w:cs="仿宋"/>
                <w:color w:val="auto"/>
                <w:kern w:val="0"/>
                <w:sz w:val="28"/>
                <w:szCs w:val="28"/>
              </w:rPr>
              <w:t>分，差或无不得分。</w:t>
            </w:r>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0</w:t>
            </w:r>
          </w:p>
        </w:tc>
      </w:tr>
      <w:tr>
        <w:tblPrEx>
          <w:tblCellMar>
            <w:top w:w="0" w:type="dxa"/>
            <w:left w:w="108" w:type="dxa"/>
            <w:bottom w:w="0" w:type="dxa"/>
            <w:right w:w="108" w:type="dxa"/>
          </w:tblCellMar>
        </w:tblPrEx>
        <w:trPr>
          <w:trHeight w:val="1154" w:hRule="atLeast"/>
          <w:jc w:val="center"/>
        </w:trPr>
        <w:tc>
          <w:tcPr>
            <w:tcW w:w="8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w:t>
            </w:r>
          </w:p>
        </w:tc>
        <w:tc>
          <w:tcPr>
            <w:tcW w:w="15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服务方案评价</w:t>
            </w:r>
          </w:p>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（2</w:t>
            </w:r>
            <w:r>
              <w:rPr>
                <w:rFonts w:hint="eastAsia" w:ascii="仿宋" w:hAnsi="仿宋" w:eastAsia="仿宋" w:cs="仿宋"/>
                <w:b/>
                <w:bCs/>
                <w:color w:val="auto"/>
                <w:kern w:val="0"/>
                <w:sz w:val="28"/>
                <w:szCs w:val="28"/>
                <w:lang w:val="en-US" w:eastAsia="zh-CN"/>
              </w:rPr>
              <w:t>0</w:t>
            </w:r>
            <w:r>
              <w:rPr>
                <w:rFonts w:hint="eastAsia" w:ascii="仿宋" w:hAnsi="仿宋" w:eastAsia="仿宋" w:cs="仿宋"/>
                <w:b/>
                <w:bCs/>
                <w:color w:val="auto"/>
                <w:kern w:val="0"/>
                <w:sz w:val="28"/>
                <w:szCs w:val="28"/>
              </w:rPr>
              <w:t>分）</w:t>
            </w:r>
          </w:p>
        </w:tc>
        <w:tc>
          <w:tcPr>
            <w:tcW w:w="55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根据所提供</w:t>
            </w:r>
            <w:r>
              <w:rPr>
                <w:rFonts w:hint="eastAsia" w:ascii="仿宋" w:hAnsi="仿宋" w:eastAsia="仿宋" w:cs="仿宋"/>
                <w:color w:val="auto"/>
                <w:kern w:val="0"/>
                <w:sz w:val="28"/>
                <w:szCs w:val="28"/>
                <w:lang w:val="en-US" w:eastAsia="zh-CN"/>
              </w:rPr>
              <w:t>服务方案打分：</w:t>
            </w:r>
            <w:r>
              <w:rPr>
                <w:rFonts w:hint="eastAsia" w:ascii="仿宋" w:hAnsi="仿宋" w:eastAsia="仿宋" w:cs="仿宋"/>
                <w:color w:val="auto"/>
                <w:kern w:val="0"/>
                <w:sz w:val="28"/>
                <w:szCs w:val="28"/>
              </w:rPr>
              <w:t>优得</w:t>
            </w:r>
            <w:r>
              <w:rPr>
                <w:rFonts w:hint="eastAsia" w:ascii="仿宋" w:hAnsi="仿宋" w:eastAsia="仿宋" w:cs="仿宋"/>
                <w:color w:val="auto"/>
                <w:kern w:val="0"/>
                <w:sz w:val="28"/>
                <w:szCs w:val="28"/>
                <w:lang w:val="en-US" w:eastAsia="zh-CN"/>
              </w:rPr>
              <w:t>20</w:t>
            </w:r>
            <w:r>
              <w:rPr>
                <w:rFonts w:hint="eastAsia" w:ascii="仿宋" w:hAnsi="仿宋" w:eastAsia="仿宋" w:cs="仿宋"/>
                <w:color w:val="auto"/>
                <w:kern w:val="0"/>
                <w:sz w:val="28"/>
                <w:szCs w:val="28"/>
              </w:rPr>
              <w:t>分，良得</w:t>
            </w:r>
            <w:r>
              <w:rPr>
                <w:rFonts w:hint="eastAsia" w:ascii="仿宋" w:hAnsi="仿宋" w:eastAsia="仿宋" w:cs="仿宋"/>
                <w:color w:val="auto"/>
                <w:kern w:val="0"/>
                <w:sz w:val="28"/>
                <w:szCs w:val="28"/>
                <w:lang w:val="en-US" w:eastAsia="zh-CN"/>
              </w:rPr>
              <w:t>10-15</w:t>
            </w:r>
            <w:r>
              <w:rPr>
                <w:rFonts w:hint="eastAsia" w:ascii="仿宋" w:hAnsi="仿宋" w:eastAsia="仿宋" w:cs="仿宋"/>
                <w:color w:val="auto"/>
                <w:kern w:val="0"/>
                <w:sz w:val="28"/>
                <w:szCs w:val="28"/>
              </w:rPr>
              <w:t>分，一般</w:t>
            </w:r>
            <w:r>
              <w:rPr>
                <w:rFonts w:hint="eastAsia" w:ascii="仿宋" w:hAnsi="仿宋" w:eastAsia="仿宋" w:cs="仿宋"/>
                <w:color w:val="auto"/>
                <w:kern w:val="0"/>
                <w:sz w:val="28"/>
                <w:szCs w:val="28"/>
                <w:lang w:val="en-US" w:eastAsia="zh-CN"/>
              </w:rPr>
              <w:t>得5-10</w:t>
            </w:r>
            <w:r>
              <w:rPr>
                <w:rFonts w:hint="eastAsia" w:ascii="仿宋" w:hAnsi="仿宋" w:eastAsia="仿宋" w:cs="仿宋"/>
                <w:color w:val="auto"/>
                <w:kern w:val="0"/>
                <w:sz w:val="28"/>
                <w:szCs w:val="28"/>
              </w:rPr>
              <w:t>分，差或无不得分。</w:t>
            </w:r>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lang w:val="en-US"/>
              </w:rPr>
            </w:pPr>
            <w:r>
              <w:rPr>
                <w:rFonts w:hint="eastAsia" w:ascii="仿宋" w:hAnsi="仿宋" w:eastAsia="仿宋" w:cs="仿宋"/>
                <w:color w:val="auto"/>
                <w:kern w:val="0"/>
                <w:sz w:val="28"/>
                <w:szCs w:val="28"/>
                <w:lang w:val="en-US" w:eastAsia="zh-CN"/>
              </w:rPr>
              <w:t>20</w:t>
            </w:r>
          </w:p>
        </w:tc>
      </w:tr>
      <w:tr>
        <w:tblPrEx>
          <w:tblCellMar>
            <w:top w:w="0" w:type="dxa"/>
            <w:left w:w="108" w:type="dxa"/>
            <w:bottom w:w="0" w:type="dxa"/>
            <w:right w:w="108" w:type="dxa"/>
          </w:tblCellMar>
        </w:tblPrEx>
        <w:trPr>
          <w:trHeight w:val="996" w:hRule="atLeast"/>
          <w:jc w:val="center"/>
        </w:trPr>
        <w:tc>
          <w:tcPr>
            <w:tcW w:w="8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w:t>
            </w:r>
          </w:p>
        </w:tc>
        <w:tc>
          <w:tcPr>
            <w:tcW w:w="15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价格评价</w:t>
            </w:r>
          </w:p>
          <w:p>
            <w:pPr>
              <w:pStyle w:val="6"/>
              <w:keepNext w:val="0"/>
              <w:keepLines w:val="0"/>
              <w:pageBreakBefore w:val="0"/>
              <w:kinsoku/>
              <w:wordWrap/>
              <w:overflowPunct/>
              <w:topLinePunct w:val="0"/>
              <w:bidi w:val="0"/>
              <w:spacing w:line="500" w:lineRule="exact"/>
              <w:ind w:left="0" w:leftChars="0" w:firstLine="0" w:firstLineChars="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rPr>
              <w:t>（2</w:t>
            </w:r>
            <w:r>
              <w:rPr>
                <w:rFonts w:hint="eastAsia" w:ascii="仿宋" w:hAnsi="仿宋" w:eastAsia="仿宋" w:cs="仿宋"/>
                <w:b/>
                <w:bCs/>
                <w:color w:val="auto"/>
                <w:kern w:val="0"/>
                <w:sz w:val="28"/>
                <w:szCs w:val="28"/>
                <w:lang w:val="en-US" w:eastAsia="zh-CN"/>
              </w:rPr>
              <w:t>0</w:t>
            </w:r>
            <w:r>
              <w:rPr>
                <w:rFonts w:hint="eastAsia" w:ascii="仿宋" w:hAnsi="仿宋" w:eastAsia="仿宋" w:cs="仿宋"/>
                <w:b/>
                <w:bCs/>
                <w:color w:val="auto"/>
                <w:kern w:val="0"/>
                <w:sz w:val="28"/>
                <w:szCs w:val="28"/>
              </w:rPr>
              <w:t>分）</w:t>
            </w:r>
          </w:p>
        </w:tc>
        <w:tc>
          <w:tcPr>
            <w:tcW w:w="5508" w:type="dxa"/>
            <w:tcBorders>
              <w:top w:val="nil"/>
              <w:left w:val="nil"/>
              <w:bottom w:val="single" w:color="auto" w:sz="4" w:space="0"/>
              <w:right w:val="single" w:color="auto" w:sz="4" w:space="0"/>
            </w:tcBorders>
            <w:noWrap w:val="0"/>
            <w:vAlign w:val="center"/>
          </w:tcPr>
          <w:p>
            <w:pPr>
              <w:keepNext w:val="0"/>
              <w:keepLines w:val="0"/>
              <w:pageBreakBefore w:val="0"/>
              <w:tabs>
                <w:tab w:val="left" w:pos="630"/>
              </w:tabs>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highlight w:val="none"/>
              </w:rPr>
              <w:t>价格评分得分采用低价优先法计算，即各有效响应供应商的评审价中，取最低者作为基准价，最低者其</w:t>
            </w:r>
            <w:r>
              <w:rPr>
                <w:rFonts w:hint="eastAsia" w:ascii="仿宋" w:hAnsi="仿宋" w:eastAsia="仿宋" w:cs="仿宋"/>
                <w:b/>
                <w:color w:val="auto"/>
                <w:sz w:val="28"/>
                <w:szCs w:val="28"/>
                <w:highlight w:val="none"/>
              </w:rPr>
              <w:t>价格评分为满分</w:t>
            </w:r>
            <w:r>
              <w:rPr>
                <w:rFonts w:hint="eastAsia" w:ascii="仿宋" w:hAnsi="仿宋" w:eastAsia="仿宋" w:cs="仿宋"/>
                <w:color w:val="auto"/>
                <w:sz w:val="28"/>
                <w:szCs w:val="28"/>
                <w:highlight w:val="none"/>
              </w:rPr>
              <w:t>。价格评分＝（基准价÷评审价）×</w:t>
            </w:r>
            <w:r>
              <w:rPr>
                <w:rFonts w:hint="eastAsia" w:ascii="仿宋" w:hAnsi="仿宋" w:eastAsia="仿宋" w:cs="仿宋"/>
                <w:color w:val="auto"/>
                <w:sz w:val="28"/>
                <w:szCs w:val="28"/>
                <w:highlight w:val="none"/>
                <w:lang w:val="en-US" w:eastAsia="zh-CN"/>
              </w:rPr>
              <w:t>20</w:t>
            </w:r>
            <w:bookmarkStart w:id="1" w:name="_GoBack"/>
            <w:bookmarkEnd w:id="1"/>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20</w:t>
            </w:r>
          </w:p>
        </w:tc>
      </w:tr>
      <w:tr>
        <w:tblPrEx>
          <w:tblCellMar>
            <w:top w:w="0" w:type="dxa"/>
            <w:left w:w="108" w:type="dxa"/>
            <w:bottom w:w="0" w:type="dxa"/>
            <w:right w:w="108" w:type="dxa"/>
          </w:tblCellMar>
        </w:tblPrEx>
        <w:trPr>
          <w:trHeight w:val="792" w:hRule="atLeast"/>
          <w:jc w:val="center"/>
        </w:trPr>
        <w:tc>
          <w:tcPr>
            <w:tcW w:w="78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得分合计</w:t>
            </w:r>
          </w:p>
        </w:tc>
        <w:tc>
          <w:tcPr>
            <w:tcW w:w="11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100</w:t>
            </w:r>
          </w:p>
        </w:tc>
      </w:tr>
    </w:tbl>
    <w:p>
      <w:pPr>
        <w:pStyle w:val="6"/>
        <w:keepNext w:val="0"/>
        <w:keepLines w:val="0"/>
        <w:pageBreakBefore w:val="0"/>
        <w:kinsoku/>
        <w:wordWrap/>
        <w:overflowPunct/>
        <w:topLinePunct w:val="0"/>
        <w:bidi w:val="0"/>
        <w:spacing w:line="500" w:lineRule="exact"/>
        <w:ind w:left="0" w:leftChars="0" w:firstLine="0" w:firstLineChars="0"/>
        <w:textAlignment w:val="auto"/>
        <w:rPr>
          <w:rFonts w:hint="eastAsia" w:ascii="仿宋" w:hAnsi="仿宋" w:eastAsia="仿宋" w:cs="仿宋"/>
          <w:b/>
          <w:color w:val="auto"/>
          <w:sz w:val="28"/>
          <w:szCs w:val="28"/>
          <w:lang w:val="en-GB"/>
        </w:rPr>
      </w:pPr>
    </w:p>
    <w:p>
      <w:pPr>
        <w:pStyle w:val="6"/>
        <w:keepNext w:val="0"/>
        <w:keepLines w:val="0"/>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bidi w:val="0"/>
        <w:spacing w:line="500" w:lineRule="exact"/>
        <w:jc w:val="center"/>
        <w:textAlignment w:val="auto"/>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14472"/>
    <w:rsid w:val="116003F7"/>
    <w:rsid w:val="14FD02D3"/>
    <w:rsid w:val="15A852D2"/>
    <w:rsid w:val="3E081F58"/>
    <w:rsid w:val="470923BB"/>
    <w:rsid w:val="50853FB4"/>
    <w:rsid w:val="56DB0176"/>
    <w:rsid w:val="58E140A7"/>
    <w:rsid w:val="5BBF530C"/>
    <w:rsid w:val="5DCB2B4C"/>
    <w:rsid w:val="7758011F"/>
    <w:rsid w:val="7B07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宋体" w:cs="Arial"/>
      <w:b/>
      <w:bCs/>
      <w:kern w:val="2"/>
      <w:sz w:val="24"/>
      <w:szCs w:val="18"/>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uiPriority w:val="0"/>
    <w:pPr>
      <w:ind w:firstLine="420"/>
    </w:pPr>
    <w:rPr>
      <w:rFonts w:eastAsia="宋体"/>
      <w:sz w:val="21"/>
      <w:szCs w:val="2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6">
    <w:name w:val="Body Text First Indent 2"/>
    <w:basedOn w:val="4"/>
    <w:qFormat/>
    <w:uiPriority w:val="0"/>
    <w:pPr>
      <w:spacing w:after="120"/>
      <w:ind w:left="420" w:leftChars="200" w:firstLine="420" w:firstLineChars="200"/>
    </w:pPr>
    <w:rPr>
      <w:rFonts w:eastAsia="仿宋"/>
      <w:sz w:val="28"/>
      <w:szCs w:val="24"/>
    </w:rPr>
  </w:style>
  <w:style w:type="paragraph" w:styleId="9">
    <w:name w:val="List Paragraph"/>
    <w:basedOn w:val="1"/>
    <w:qFormat/>
    <w:uiPriority w:val="0"/>
    <w:pPr>
      <w:widowControl/>
      <w:ind w:firstLine="420" w:firstLineChars="200"/>
      <w:jc w:val="left"/>
    </w:pPr>
    <w:rPr>
      <w:rFonts w:eastAsia="宋体"/>
      <w:kern w:val="0"/>
      <w:sz w:val="20"/>
      <w:szCs w:val="20"/>
      <w:lang w:val="da-DK"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855</Words>
  <Characters>884</Characters>
  <Lines>0</Lines>
  <Paragraphs>0</Paragraphs>
  <TotalTime>3</TotalTime>
  <ScaleCrop>false</ScaleCrop>
  <LinksUpToDate>false</LinksUpToDate>
  <CharactersWithSpaces>886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2022-01-13T02:12:00Z</dcterms:created>
  <dc:creator>q</dc:creator>
  <cp:lastModifiedBy>hp</cp:lastModifiedBy>
  <dcterms:modified xsi:type="dcterms:W3CDTF">2022-01-13T03:44:50Z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E5A4F3B22FEF4D39B3FC6CD80D234DA3</vt:lpwstr>
  </property>
</Properties>
</file>