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提供广东省三甲医院客户名单或全国知名医院用户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无法提供证明材料的视为无效用户名单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，相关能证明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贵品牌</w:t>
      </w:r>
      <w:r>
        <w:rPr>
          <w:rFonts w:hint="eastAsia" w:ascii="仿宋" w:hAnsi="仿宋" w:eastAsia="仿宋" w:cs="仿宋"/>
          <w:sz w:val="24"/>
          <w:szCs w:val="24"/>
        </w:rPr>
        <w:t>产品市场占有率的文件。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至少三家三甲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69F7901"/>
    <w:rsid w:val="00C95F1C"/>
    <w:rsid w:val="369F7901"/>
    <w:rsid w:val="552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296</Characters>
  <Lines>0</Lines>
  <Paragraphs>0</Paragraphs>
  <TotalTime>6</TotalTime>
  <ScaleCrop>false</ScaleCrop>
  <LinksUpToDate>false</LinksUpToDate>
  <CharactersWithSpaces>518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孙天豪</cp:lastModifiedBy>
  <dcterms:modified xsi:type="dcterms:W3CDTF">2022-05-31T03:39:20Z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E04BD00FDCFE49E596FF7CF1617C74FE</vt:lpwstr>
  </property>
</Properties>
</file>