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>报 价 函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河源市人民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医院：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贵院发来河源市人民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医院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val="en-US" w:eastAsia="zh-CN" w:bidi="ar"/>
        </w:rPr>
        <w:t>CT等五台医疗设备报废处置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项目竞价公告收悉，我司承诺，我司的经营范围符合国家相关法律法规，及服务能力可满足贵院需求，我司按照贵院采购项目要求，估算包干费用为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元（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val="en-US" w:eastAsia="zh-CN" w:bidi="ar"/>
        </w:rPr>
        <w:t>不得低于限价 313930 元，按价高者得原则确定成交供应商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）。此报价包含服务过程中的人工、运输、保险以及不可预见的一切费用，此报价含税，税费按国家规定的税率计算。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最终报价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元（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val="en-US" w:eastAsia="zh-CN" w:bidi="ar"/>
        </w:rPr>
        <w:t>本报价请于开标当天唱标后填写，不得低于第一次报价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）。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报价单位：                     （盖章）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授权代表：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手机号：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MjAyMzE0NmIxMmU4ZTJlZDRjMGQxMmRmYzg0ZTgifQ=="/>
  </w:docVars>
  <w:rsids>
    <w:rsidRoot w:val="00000000"/>
    <w:rsid w:val="1CEF27D8"/>
    <w:rsid w:val="26F03600"/>
    <w:rsid w:val="392566AA"/>
    <w:rsid w:val="44BE47AB"/>
    <w:rsid w:val="52081C19"/>
    <w:rsid w:val="60D158A0"/>
    <w:rsid w:val="6F35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242</Characters>
  <Lines>0</Lines>
  <Paragraphs>0</Paragraphs>
  <TotalTime>6</TotalTime>
  <ScaleCrop>false</ScaleCrop>
  <LinksUpToDate>false</LinksUpToDate>
  <CharactersWithSpaces>300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2022-12-01T01:39:00Z</dcterms:created>
  <dc:creator>Administrator</dc:creator>
  <cp:lastModifiedBy>zdhong</cp:lastModifiedBy>
  <dcterms:modified xsi:type="dcterms:W3CDTF">2023-09-24T01:31:01Z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5DD73EB4F60C446989EAF989E502337E</vt:lpwstr>
  </property>
</Properties>
</file>