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3C5D0">
      <w:pPr>
        <w:jc w:val="center"/>
        <w:rPr>
          <w:rFonts w:hint="eastAsia"/>
          <w:b/>
          <w:bCs/>
          <w:color w:val="000000" w:themeColor="text1"/>
          <w:sz w:val="48"/>
          <w:szCs w:val="48"/>
          <w:lang w:val="en-US" w:eastAsia="zh-CN"/>
          <w14:textFill>
            <w14:solidFill>
              <w14:schemeClr w14:val="tx1"/>
            </w14:solidFill>
          </w14:textFill>
        </w:rPr>
      </w:pPr>
    </w:p>
    <w:p w14:paraId="3DEDECB3">
      <w:pPr>
        <w:spacing w:line="480" w:lineRule="auto"/>
        <w:jc w:val="center"/>
        <w:rPr>
          <w:b/>
          <w:bCs/>
          <w:color w:val="000000" w:themeColor="text1"/>
          <w:sz w:val="48"/>
          <w:szCs w:val="48"/>
          <w14:textFill>
            <w14:solidFill>
              <w14:schemeClr w14:val="tx1"/>
            </w14:solidFill>
          </w14:textFill>
        </w:rPr>
      </w:pPr>
      <w:r>
        <w:rPr>
          <w:rFonts w:hint="eastAsia"/>
          <w:b/>
          <w:bCs/>
          <w:color w:val="000000" w:themeColor="text1"/>
          <w:sz w:val="48"/>
          <w:szCs w:val="48"/>
          <w:lang w:val="en-US" w:eastAsia="zh-CN"/>
          <w14:textFill>
            <w14:solidFill>
              <w14:schemeClr w14:val="tx1"/>
            </w14:solidFill>
          </w14:textFill>
        </w:rPr>
        <w:t xml:space="preserve">河源市人民医院电力市场交易代购服务采购项目  </w:t>
      </w:r>
    </w:p>
    <w:p w14:paraId="7AFBB76E">
      <w:pPr>
        <w:jc w:val="center"/>
        <w:rPr>
          <w:b/>
          <w:bCs/>
          <w:color w:val="000000" w:themeColor="text1"/>
          <w:sz w:val="48"/>
          <w:szCs w:val="48"/>
          <w14:textFill>
            <w14:solidFill>
              <w14:schemeClr w14:val="tx1"/>
            </w14:solidFill>
          </w14:textFill>
        </w:rPr>
      </w:pPr>
    </w:p>
    <w:p w14:paraId="7F81B595">
      <w:pPr>
        <w:jc w:val="center"/>
        <w:rPr>
          <w:b/>
          <w:bCs/>
          <w:color w:val="000000" w:themeColor="text1"/>
          <w:sz w:val="48"/>
          <w:szCs w:val="48"/>
          <w14:textFill>
            <w14:solidFill>
              <w14:schemeClr w14:val="tx1"/>
            </w14:solidFill>
          </w14:textFill>
        </w:rPr>
      </w:pPr>
    </w:p>
    <w:p w14:paraId="66DBE6E3">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用</w:t>
      </w:r>
    </w:p>
    <w:p w14:paraId="70C7961A">
      <w:p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户</w:t>
      </w:r>
    </w:p>
    <w:p w14:paraId="65A222DF">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需</w:t>
      </w:r>
    </w:p>
    <w:p w14:paraId="464FBC4A">
      <w:pPr>
        <w:jc w:val="center"/>
        <w:rPr>
          <w:rFonts w:hint="eastAsia"/>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求</w:t>
      </w:r>
    </w:p>
    <w:p w14:paraId="778AB7ED">
      <w:pPr>
        <w:jc w:val="center"/>
        <w:rPr>
          <w:rFonts w:hint="default" w:eastAsiaTheme="minor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书</w:t>
      </w:r>
    </w:p>
    <w:p w14:paraId="611ED348">
      <w:pPr>
        <w:jc w:val="center"/>
        <w:rPr>
          <w:rFonts w:hint="eastAsia" w:eastAsiaTheme="minorEastAsia"/>
          <w:b/>
          <w:bCs/>
          <w:color w:val="000000" w:themeColor="text1"/>
          <w:sz w:val="48"/>
          <w:szCs w:val="48"/>
          <w:lang w:eastAsia="zh-CN"/>
          <w14:textFill>
            <w14:solidFill>
              <w14:schemeClr w14:val="tx1"/>
            </w14:solidFill>
          </w14:textFill>
        </w:rPr>
      </w:pPr>
    </w:p>
    <w:p w14:paraId="036EC31F">
      <w:pPr>
        <w:jc w:val="center"/>
        <w:rPr>
          <w:b/>
          <w:bCs/>
          <w:color w:val="000000" w:themeColor="text1"/>
          <w:sz w:val="48"/>
          <w:szCs w:val="48"/>
          <w14:textFill>
            <w14:solidFill>
              <w14:schemeClr w14:val="tx1"/>
            </w14:solidFill>
          </w14:textFill>
        </w:rPr>
      </w:pPr>
    </w:p>
    <w:p w14:paraId="1D649283">
      <w:pPr>
        <w:jc w:val="both"/>
        <w:rPr>
          <w:b/>
          <w:bCs/>
          <w:color w:val="000000" w:themeColor="text1"/>
          <w:sz w:val="48"/>
          <w:szCs w:val="48"/>
          <w14:textFill>
            <w14:solidFill>
              <w14:schemeClr w14:val="tx1"/>
            </w14:solidFill>
          </w14:textFill>
        </w:rPr>
      </w:pPr>
    </w:p>
    <w:p w14:paraId="293F1F78">
      <w:pPr>
        <w:jc w:val="both"/>
        <w:rPr>
          <w:b/>
          <w:bCs/>
          <w:color w:val="000000" w:themeColor="text1"/>
          <w:sz w:val="48"/>
          <w:szCs w:val="48"/>
          <w14:textFill>
            <w14:solidFill>
              <w14:schemeClr w14:val="tx1"/>
            </w14:solidFill>
          </w14:textFill>
        </w:rPr>
      </w:pPr>
    </w:p>
    <w:p w14:paraId="3F4CDE62">
      <w:pPr>
        <w:jc w:val="center"/>
        <w:rPr>
          <w:rFonts w:hint="eastAsia"/>
          <w:b/>
          <w:bCs/>
          <w:color w:val="000000" w:themeColor="text1"/>
          <w:sz w:val="44"/>
          <w:szCs w:val="44"/>
          <w:lang w:val="en-US" w:eastAsia="zh-CN"/>
          <w14:textFill>
            <w14:solidFill>
              <w14:schemeClr w14:val="tx1"/>
            </w14:solidFill>
          </w14:textFill>
        </w:rPr>
      </w:pPr>
    </w:p>
    <w:p w14:paraId="659FA805">
      <w:pPr>
        <w:jc w:val="center"/>
        <w:rPr>
          <w:rFonts w:hint="eastAsia"/>
          <w:b/>
          <w:bCs/>
          <w:color w:val="000000" w:themeColor="text1"/>
          <w:sz w:val="44"/>
          <w:szCs w:val="44"/>
          <w:lang w:val="en-US" w:eastAsia="zh-CN"/>
          <w14:textFill>
            <w14:solidFill>
              <w14:schemeClr w14:val="tx1"/>
            </w14:solidFill>
          </w14:textFill>
        </w:rPr>
      </w:pPr>
    </w:p>
    <w:p w14:paraId="64D50F4F">
      <w:pPr>
        <w:jc w:val="center"/>
        <w:rPr>
          <w:rFonts w:hint="default" w:eastAsiaTheme="minor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河源市人民医院</w:t>
      </w:r>
    </w:p>
    <w:p w14:paraId="54B6FAE3">
      <w:pPr>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202</w:t>
      </w:r>
      <w:r>
        <w:rPr>
          <w:rFonts w:hint="eastAsia"/>
          <w:b/>
          <w:bCs/>
          <w:color w:val="000000" w:themeColor="text1"/>
          <w:sz w:val="36"/>
          <w:szCs w:val="36"/>
          <w:lang w:val="en-US" w:eastAsia="zh-CN"/>
          <w14:textFill>
            <w14:solidFill>
              <w14:schemeClr w14:val="tx1"/>
            </w14:solidFill>
          </w14:textFill>
        </w:rPr>
        <w:t>6</w:t>
      </w:r>
      <w:r>
        <w:rPr>
          <w:rFonts w:hint="eastAsia"/>
          <w:b/>
          <w:bCs/>
          <w:color w:val="000000" w:themeColor="text1"/>
          <w:sz w:val="36"/>
          <w:szCs w:val="36"/>
          <w14:textFill>
            <w14:solidFill>
              <w14:schemeClr w14:val="tx1"/>
            </w14:solidFill>
          </w14:textFill>
        </w:rPr>
        <w:t>年</w:t>
      </w:r>
      <w:r>
        <w:rPr>
          <w:rFonts w:hint="eastAsia"/>
          <w:b/>
          <w:bCs/>
          <w:color w:val="000000" w:themeColor="text1"/>
          <w:sz w:val="36"/>
          <w:szCs w:val="36"/>
          <w:lang w:val="en-US" w:eastAsia="zh-CN"/>
          <w14:textFill>
            <w14:solidFill>
              <w14:schemeClr w14:val="tx1"/>
            </w14:solidFill>
          </w14:textFill>
        </w:rPr>
        <w:t>2</w:t>
      </w:r>
      <w:r>
        <w:rPr>
          <w:rFonts w:hint="eastAsia"/>
          <w:b/>
          <w:bCs/>
          <w:color w:val="000000" w:themeColor="text1"/>
          <w:sz w:val="36"/>
          <w:szCs w:val="36"/>
          <w14:textFill>
            <w14:solidFill>
              <w14:schemeClr w14:val="tx1"/>
            </w14:solidFill>
          </w14:textFill>
        </w:rPr>
        <w:t>月</w:t>
      </w:r>
    </w:p>
    <w:p w14:paraId="59D1B9FC">
      <w:pPr>
        <w:jc w:val="center"/>
        <w:rPr>
          <w:rFonts w:hint="eastAsia"/>
          <w:b/>
          <w:bCs/>
          <w:color w:val="000000" w:themeColor="text1"/>
          <w:sz w:val="44"/>
          <w:szCs w:val="44"/>
          <w14:textFill>
            <w14:solidFill>
              <w14:schemeClr w14:val="tx1"/>
            </w14:solidFill>
          </w14:textFill>
        </w:rPr>
      </w:pPr>
    </w:p>
    <w:p w14:paraId="28F2C16F">
      <w:pPr>
        <w:jc w:val="center"/>
        <w:rPr>
          <w:rFonts w:hint="eastAsia"/>
          <w:b/>
          <w:bCs/>
          <w:color w:val="000000" w:themeColor="text1"/>
          <w:sz w:val="44"/>
          <w:szCs w:val="44"/>
          <w14:textFill>
            <w14:solidFill>
              <w14:schemeClr w14:val="tx1"/>
            </w14:solidFill>
          </w14:textFill>
        </w:rPr>
      </w:pPr>
    </w:p>
    <w:p w14:paraId="66CE5A73">
      <w:pPr>
        <w:numPr>
          <w:ilvl w:val="0"/>
          <w:numId w:val="0"/>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一、项目概况：</w:t>
      </w:r>
      <w:r>
        <w:rPr>
          <w:rFonts w:hint="eastAsia" w:ascii="宋体" w:hAnsi="宋体" w:eastAsia="宋体" w:cs="宋体"/>
          <w:b w:val="0"/>
          <w:bCs w:val="0"/>
          <w:color w:val="auto"/>
          <w:sz w:val="24"/>
          <w:szCs w:val="24"/>
          <w:lang w:val="en-US" w:eastAsia="zh-CN"/>
        </w:rPr>
        <w:t>根据《关于广东电力市场2026年交易关键机制和参数的通知》(广东交易(2025)271号)文件精神，鼓励10kV及以上工商业用户直接参与电力市场交易，其中年用电量500万千瓦时及以上的工商业用户原则上直接参与市场交易(市场购电)，目前我院属于南方电网代购用户(客户编号1:院本部0316009900026646、客户编号2:高新区门诊0316000181981730)，电压等级为交流10kV，根据2024及2025年年总用电量数据，每年用电量约1500万千瓦时，具备参加电力市场交易条件，结合我院实际用电需求，现面向社会采购一家电力市场交易代购服务商。</w:t>
      </w:r>
    </w:p>
    <w:p w14:paraId="55C670D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二、项目情况：</w:t>
      </w:r>
    </w:p>
    <w:p w14:paraId="2D60C190">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1、采购项目名称：河源市人民医院电力市场交易代购服务采购项目</w:t>
      </w:r>
    </w:p>
    <w:p w14:paraId="7DC525D4">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2、项目编号：HYRY-2026-001</w:t>
      </w:r>
    </w:p>
    <w:p w14:paraId="381E43DB">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3、预算金额：按实结算</w:t>
      </w:r>
    </w:p>
    <w:p w14:paraId="5B019F58">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三、用户需求：</w:t>
      </w:r>
    </w:p>
    <w:tbl>
      <w:tblPr>
        <w:tblStyle w:val="15"/>
        <w:tblW w:w="883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30"/>
        <w:gridCol w:w="1875"/>
        <w:gridCol w:w="1665"/>
        <w:gridCol w:w="2865"/>
      </w:tblGrid>
      <w:tr w14:paraId="5ABB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43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A4D9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A492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46D71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预估用电量</w:t>
            </w:r>
          </w:p>
        </w:tc>
        <w:tc>
          <w:tcPr>
            <w:tcW w:w="28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D1300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报价(全包干价)</w:t>
            </w:r>
          </w:p>
        </w:tc>
      </w:tr>
      <w:tr w14:paraId="7AB7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B0AC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河源市人民医院电力市场交易代购服务采购项目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8F0A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17B22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2625万千瓦时</w:t>
            </w:r>
          </w:p>
        </w:tc>
        <w:tc>
          <w:tcPr>
            <w:tcW w:w="28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0ED09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电价上限为0.554元/千瓦时，下限为0.372元/千瓦时、(区间外报价无效)。</w:t>
            </w:r>
          </w:p>
        </w:tc>
      </w:tr>
    </w:tbl>
    <w:p w14:paraId="7ECC44E8">
      <w:pPr>
        <w:spacing w:line="360" w:lineRule="auto"/>
        <w:ind w:left="239" w:leftChars="114" w:firstLine="480" w:firstLineChars="2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备注：2027年售电电价按照广东电力交易中心有限责任公司最新发布文件的年度交易成交均价下限暂定价格执行。</w:t>
      </w:r>
    </w:p>
    <w:p w14:paraId="313A0AE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四、服务商资格要求：</w:t>
      </w:r>
    </w:p>
    <w:p w14:paraId="43FF9CD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1、响应服务商应具备《中华人民共和国政府采购法》第二十二条规定的条件，提供下列材料：</w:t>
      </w:r>
    </w:p>
    <w:p w14:paraId="0874AF1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是在中华人民共和国境内注册的法人或其他组织或自然人，响应时提交有效的营业执照（或事业法人登记证或社会团体登记证或民办非企业单位登记证或身份证等相关证明）复印件。（如国家另有规定的，则从其规定。如服务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96EC68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2）有依法缴纳税收和社会保障资金的良好记录：提供声明函（格式自定）</w:t>
      </w:r>
    </w:p>
    <w:p w14:paraId="19FDEF1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3）具有良好的商业信誉和健全的财务会计制度：提供声明函（格式自定）</w:t>
      </w:r>
    </w:p>
    <w:p w14:paraId="5B0A93C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4）履行合同所必需的设备和专业技术能力：提供声明函（格式自定）</w:t>
      </w:r>
    </w:p>
    <w:p w14:paraId="191F357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76CBBA9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14:paraId="785BC69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属于专门面向中小企业采购的项目，根据《政府采购促进中小企业发展管理办法》的规定，本项目属于“按照本办法规定预留采购份额无法确保充分供应、充分竞争，或者存在可能影响政府采购目标实现的情形”的情形，故不属于专门面向中小企业采购的项目。本项目采购标的所属行业为：工业。</w:t>
      </w:r>
    </w:p>
    <w:p w14:paraId="2AAAFA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293CD97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p>
    <w:p w14:paraId="439400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2）单位负责人为同一人或者存在直接控股、管理关系的不同服务商,不得同时参加本采购项目响应。为本项目提供整体设计、规范编制或者项目管理、 监理、 检测等服务的服务商, 不得再参与本项目响应，须提供《声明函》。</w:t>
      </w:r>
    </w:p>
    <w:p w14:paraId="35A0440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3）本采购包不接受联合体响应,不可转包。</w:t>
      </w:r>
    </w:p>
    <w:p w14:paraId="6D0C3409">
      <w:pPr>
        <w:spacing w:line="360" w:lineRule="auto"/>
        <w:ind w:firstLine="480" w:firstLineChars="200"/>
        <w:rPr>
          <w:rFonts w:hint="eastAsia" w:ascii="仿宋_GB2312" w:hAnsi="仿宋_GB2312" w:eastAsia="仿宋_GB2312" w:cs="仿宋_GB2312"/>
          <w:b w:val="0"/>
          <w:bCs w:val="0"/>
          <w:sz w:val="28"/>
          <w:szCs w:val="28"/>
          <w:lang w:val="en-US" w:eastAsia="zh-CN"/>
        </w:rPr>
      </w:pPr>
      <w:r>
        <w:rPr>
          <w:rFonts w:hint="eastAsia" w:ascii="宋体" w:hAnsi="宋体" w:eastAsia="宋体" w:cs="宋体"/>
          <w:sz w:val="24"/>
          <w:szCs w:val="24"/>
          <w:lang w:val="en-US" w:eastAsia="zh-CN"/>
        </w:rPr>
        <w:t>4）响应服务商须是已通过广东电力交易中心注册且具备交易资格的售电公司(响应文件须提供有效证明文件及售电牌照编码,证明文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p w14:paraId="0B2E86E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五、</w:t>
      </w:r>
      <w:r>
        <w:rPr>
          <w:rFonts w:hint="eastAsia" w:ascii="宋体" w:hAnsi="宋体" w:eastAsia="宋体" w:cs="宋体"/>
          <w:b/>
          <w:bCs/>
          <w:sz w:val="28"/>
          <w:szCs w:val="28"/>
          <w:lang w:val="en-US" w:eastAsia="zh-CN"/>
        </w:rPr>
        <w:t>服务内容：</w:t>
      </w:r>
    </w:p>
    <w:p w14:paraId="105F9B1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包含但不限于以下内容：</w:t>
      </w:r>
    </w:p>
    <w:p w14:paraId="27A2AD0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1.代理参与电力市场化交易，负责每月交易电量申报、交易、结算工作，申报前需与采购人确认当月预计用电量；</w:t>
      </w:r>
    </w:p>
    <w:p w14:paraId="23DDE64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2.负责电力交易平台市场注册及后期电力交易相关的全周期电力交易服务，确保采购人正常参与每月交易；</w:t>
      </w:r>
    </w:p>
    <w:p w14:paraId="490AFD8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3469553F">
      <w:pPr>
        <w:numPr>
          <w:ilvl w:val="0"/>
          <w:numId w:val="0"/>
        </w:numPr>
        <w:spacing w:line="360" w:lineRule="auto"/>
        <w:ind w:left="0" w:leftChars="0" w:firstLine="480" w:firstLineChars="200"/>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提供的购电服务应不改变采购人原有的用电习惯，供电模式和供电质量保障不变（尤其保障手术室、ICU、急诊等高可靠性区域供电稳定），所有交易流程全权委托中选服务商进行，具体工作内容及范围以采购人委托为准。</w:t>
      </w:r>
    </w:p>
    <w:p w14:paraId="11CD86F8">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lang w:val="en-US" w:eastAsia="zh-CN"/>
        </w:rPr>
        <w:t>服务要求：</w:t>
      </w:r>
    </w:p>
    <w:p w14:paraId="6FBD391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响应服务商按国家有关法规、规定和技术规范，提供全周期电力交易服务和用电增值服务：</w:t>
      </w:r>
    </w:p>
    <w:p w14:paraId="2E09D95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1.按照国家有关法规、规定和技术规范，为采购人提供电力交易服务，参与电力市场交易并按规定结算，不得存在违规交易行为；</w:t>
      </w:r>
    </w:p>
    <w:p w14:paraId="0E8E5FFC">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2.向采购人提供真实准确的有关电力直接交易的相关信息及资料，不得提供虚假的或误导性的信息；</w:t>
      </w:r>
    </w:p>
    <w:p w14:paraId="2382BF8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3.根据国家有关法规支付电力交易相关费用；</w:t>
      </w:r>
    </w:p>
    <w:p w14:paraId="25E2AA8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4.协助采购人申请办理电力交易有关手续，及时响应采购人咨询；</w:t>
      </w:r>
    </w:p>
    <w:p w14:paraId="49012E6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 用电应急保障服务：中选服务商应建立针对采购人的用电应急保障机制。当发生停电预警、计划性停电通知或突发用电故障时，中选服务商应在接到采购人通知后15分钟内响应，并履行以下义务：</w:t>
      </w:r>
    </w:p>
    <w:p w14:paraId="0CCA5BB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（1）立即向电网企业了解情况，并在30分钟内将故障原因、预计恢复时间等信息书面告知采购人联系人；</w:t>
      </w:r>
    </w:p>
    <w:p w14:paraId="5FEFE45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（2）积极协调电网企业优先恢复供电，特别是手术室、ICU、急诊等高可靠性区域的电力供应；</w:t>
      </w:r>
    </w:p>
    <w:p w14:paraId="47B192D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（3）因电力市场交易或结算原因可能导致采购人用电中断的，中选服务商应提前48小时书面预警，并采取一切必要措施避免中断发生。</w:t>
      </w:r>
    </w:p>
    <w:p w14:paraId="39C581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中选服务商未履行上述应急保障义务的，应承担采购需求中约定的违约责任。</w:t>
      </w:r>
    </w:p>
    <w:p w14:paraId="0BB0E789">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七、</w:t>
      </w:r>
      <w:r>
        <w:rPr>
          <w:rFonts w:hint="eastAsia" w:ascii="宋体" w:hAnsi="宋体" w:eastAsia="宋体" w:cs="宋体"/>
          <w:b/>
          <w:bCs/>
          <w:sz w:val="28"/>
          <w:szCs w:val="28"/>
          <w:lang w:val="en-US" w:eastAsia="zh-CN"/>
        </w:rPr>
        <w:t>交易模式：</w:t>
      </w:r>
    </w:p>
    <w:p w14:paraId="48F4A9E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固定价格电量比例：90%</w:t>
      </w:r>
    </w:p>
    <w:p w14:paraId="26DDC8F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市场联动价格电量比例：10%</w:t>
      </w:r>
    </w:p>
    <w:p w14:paraId="48E3F47E">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  价格构成：</w:t>
      </w:r>
    </w:p>
    <w:p w14:paraId="6B993D6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固定价格部分：电能量价格为________ 元/兆瓦时（1兆瓦时等于1000千瓦时，100元/兆瓦时等于0.1元/千瓦时）。固定价格电费= 甲方实际用电量 × 90% × 固定价格。</w:t>
      </w:r>
    </w:p>
    <w:p w14:paraId="3247F02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08A390D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输配电费、政府性基金及附加等：按电网公司及交易中心政策执行。</w:t>
      </w:r>
    </w:p>
    <w:p w14:paraId="4B4B07E7">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代理服务费等已包含在上述费用中，乙方不得再向甲方主张合同明确约定以外的任何费用。</w:t>
      </w:r>
    </w:p>
    <w:p w14:paraId="2482068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0DCAA00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  偏差考核：偏离电量100%由乙方承担。</w:t>
      </w:r>
    </w:p>
    <w:p w14:paraId="19E0C840">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八、</w:t>
      </w:r>
      <w:r>
        <w:rPr>
          <w:rFonts w:hint="eastAsia" w:ascii="宋体" w:hAnsi="宋体" w:eastAsia="宋体" w:cs="宋体"/>
          <w:b/>
          <w:bCs/>
          <w:sz w:val="28"/>
          <w:szCs w:val="28"/>
          <w:lang w:val="en-US" w:eastAsia="zh-CN"/>
        </w:rPr>
        <w:t>付款方式及履约保证金：</w:t>
      </w:r>
    </w:p>
    <w:p w14:paraId="58E7032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sz w:val="28"/>
          <w:szCs w:val="28"/>
          <w:lang w:val="en-US" w:eastAsia="zh-CN"/>
        </w:rPr>
        <w:t>（一）付款方式：</w:t>
      </w:r>
      <w:r>
        <w:rPr>
          <w:rFonts w:hint="eastAsia" w:ascii="宋体" w:hAnsi="宋体" w:eastAsia="宋体" w:cs="宋体"/>
          <w:i w:val="0"/>
          <w:iCs w:val="0"/>
          <w:caps w:val="0"/>
          <w:color w:val="000000"/>
          <w:spacing w:val="0"/>
          <w:kern w:val="0"/>
          <w:sz w:val="24"/>
          <w:szCs w:val="24"/>
          <w:lang w:val="en-US" w:eastAsia="zh-CN" w:bidi="ar"/>
        </w:rPr>
        <w:t>支付比例100%；</w:t>
      </w:r>
    </w:p>
    <w:p w14:paraId="4DD6E7D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1.结算原则：月结月清。电费由采购人直接与</w:t>
      </w:r>
      <w:r>
        <w:rPr>
          <w:rFonts w:hint="eastAsia" w:ascii="宋体" w:hAnsi="宋体" w:eastAsia="宋体" w:cs="宋体"/>
          <w:i w:val="0"/>
          <w:iCs w:val="0"/>
          <w:caps w:val="0"/>
          <w:color w:val="auto"/>
          <w:spacing w:val="0"/>
          <w:kern w:val="0"/>
          <w:sz w:val="24"/>
          <w:szCs w:val="24"/>
          <w:lang w:val="en-US" w:eastAsia="zh-CN" w:bidi="ar"/>
        </w:rPr>
        <w:t>中国南方电网公司广东电网公司</w:t>
      </w:r>
      <w:r>
        <w:rPr>
          <w:rFonts w:hint="eastAsia" w:ascii="宋体" w:hAnsi="宋体" w:eastAsia="宋体" w:cs="宋体"/>
          <w:i w:val="0"/>
          <w:iCs w:val="0"/>
          <w:caps w:val="0"/>
          <w:color w:val="000000"/>
          <w:spacing w:val="0"/>
          <w:kern w:val="0"/>
          <w:sz w:val="24"/>
          <w:szCs w:val="24"/>
          <w:lang w:val="en-US" w:eastAsia="zh-CN" w:bidi="ar"/>
        </w:rPr>
        <w:t xml:space="preserve">结算，中选服务商和采购人不产生财务往来。 </w:t>
      </w:r>
    </w:p>
    <w:p w14:paraId="26CF15F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票据与明细：中选服务商应确保采购人能够从电网公司获取合规的专用发票。同时，中选服务商有义务每月向采购人提供清晰、准确的结算清单，明确交易电量、电价，并拆分输配电价、政府性基金及附加等组成部分。</w:t>
      </w:r>
    </w:p>
    <w:p w14:paraId="3B0BB0D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如项目发生合同融资，采购人需将合同款项支付到合同约定收款账户。</w:t>
      </w:r>
    </w:p>
    <w:p w14:paraId="6858C972">
      <w:pPr>
        <w:pStyle w:val="19"/>
        <w:spacing w:line="360" w:lineRule="auto"/>
        <w:ind w:firstLine="42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default" w:ascii="宋体" w:hAnsi="宋体" w:eastAsia="宋体" w:cs="宋体"/>
          <w:b/>
          <w:bCs/>
          <w:sz w:val="28"/>
          <w:szCs w:val="28"/>
          <w:lang w:val="en-US" w:eastAsia="zh-CN"/>
        </w:rPr>
        <w:t>履约保证金</w:t>
      </w:r>
      <w:r>
        <w:rPr>
          <w:rFonts w:hint="eastAsia" w:ascii="宋体" w:hAnsi="宋体" w:eastAsia="宋体" w:cs="宋体"/>
          <w:b/>
          <w:bCs/>
          <w:sz w:val="28"/>
          <w:szCs w:val="28"/>
          <w:lang w:val="en-US" w:eastAsia="zh-CN"/>
        </w:rPr>
        <w:t>：</w:t>
      </w:r>
    </w:p>
    <w:p w14:paraId="6D84EA1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缴纳金额：10万元</w:t>
      </w:r>
    </w:p>
    <w:p w14:paraId="0AAAC873">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缴费渠道：电子保函（保险）、其他</w:t>
      </w:r>
    </w:p>
    <w:p w14:paraId="255E899A">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签订后，中选服务商向采购人支付10万元作为履约保证金。履约保证金应当以银行转账或者金融机构、担保机构出具的保函等非现金形式提交。合同期届满后，中选服务商无违约行为，采购人在合同履行完毕之日起30个工作日内无息退还履约保证金。采购人逾期退还履约保证金的，中选服务商可要求采购人按中国人民银行授权的全国银行间同业拆借中心在逾期当月20日（遇节假日顺延）9时30分公布的1年期贷款市场报价利率上浮20％后的利率支付超期资金占用费，但因中选服务商自身原因导致无法及时退还的除外。 履约保证金可以以履约保函（保险）形式提供。</w:t>
      </w:r>
    </w:p>
    <w:p w14:paraId="4054BD12">
      <w:pPr>
        <w:pStyle w:val="19"/>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九、违约责任：</w:t>
      </w:r>
    </w:p>
    <w:p w14:paraId="2E5B73E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若中选服务商存在提供虚假数据、拒不履行售电服务等严重违约行为，采购人有权终止合同，并将其违约情况如实上报行业主管部门。同时，采购人保留就中选服务商违约行为造成的全部损失，通过法律途径追究其相应法律责任的权利。</w:t>
      </w:r>
    </w:p>
    <w:p w14:paraId="7098410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2、因中选服务商原因造成采购人经济损失的，中选服务商应向采购人赔偿因其造成的直接经济损失。另外，中选服务商若违反法律法规，中选服务商应承担相应法律责任。</w:t>
      </w:r>
    </w:p>
    <w:p w14:paraId="0DA3E2A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3、中选服务商拒绝与采购人签订合同的，采购人可以按照评标报告推荐的中标候选人名单排序，确定下一候选人为中标服务商，也可以重新开展政府采购活动。</w:t>
      </w:r>
    </w:p>
    <w:p w14:paraId="7B06873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4、中选服务商未履行或未按时履行或未按质履行合同约定的情形时，采购人有权向中选服务商发出书面警告,要求中选服务商限期整改。中选服务商未按要求限期完成整改，采购人有权单方解除合同。</w:t>
      </w:r>
    </w:p>
    <w:p w14:paraId="539905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5、当中选服务商违反合同的约定符合解除合同的条件时，采购人有权向中选服务商发出书面解除合同的通知，该通知在送达中选服务商时解除合同即生效。</w:t>
      </w:r>
    </w:p>
    <w:p w14:paraId="3AD9D89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服务期限内，（1）若因中选服务商原因导致采购人无法正常购电的，中选服务商应向采购人支付因中选服务商违约而造成的经济损失且履约保证金不予退还。（2）采购人因上级部门政策变化或者需求变化等原因，合同不能继续执行需终止合同的，采购人按照实际使用的电量和合同约定的费用结算费用，且中选服务商不得因此向采购人追偿其他任何损失或赔偿。</w:t>
      </w:r>
    </w:p>
    <w:p w14:paraId="520DB17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 除上述约定外，出现以下情形，中选服务商应承担违约责任：</w:t>
      </w:r>
    </w:p>
    <w:p w14:paraId="682D779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因中选服务商原因（如未及时申报、材料提交不全等）导致采购人在电力交易平台注册失败或无法参与月度交易，每发生一次，中选服务商应向采购人支付十万元的违约金，中选服务商承担因此导致的全部损失。</w:t>
      </w:r>
    </w:p>
    <w:p w14:paraId="1B9EEB0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（2）中选服务商未在每月10日前向采购人书面提供市场联动价格的，每逾期一日，应向采购人支付一千元的违约金。</w:t>
      </w:r>
    </w:p>
    <w:p w14:paraId="7DCB82B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（3）中选服务商违反应急保障响应时效及协助义务的，每发生一次，应向采购人支付一万元的违约金。</w:t>
      </w:r>
    </w:p>
    <w:p w14:paraId="11F4891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（4）如因中选服务商责任导致医院停电≥1小时，中选服务商应向采购人支付十万元，中选服务商承担因此导致的全部损失。</w:t>
      </w:r>
    </w:p>
    <w:p w14:paraId="1C5FB10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（5）因中选服务商原因导致采购人未能从电网公司获取合规的相应金额的专用发票的，每发生一次，支付违约金十万元，中选服务商承担因此导致的全部损失。</w:t>
      </w:r>
    </w:p>
    <w:p w14:paraId="430710A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（6）其他因中选服务商原因导致采购人损失的情况，中选服务商承担因此导致的全部损失。</w:t>
      </w:r>
    </w:p>
    <w:p w14:paraId="3FA55797">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十、其他</w:t>
      </w:r>
    </w:p>
    <w:p w14:paraId="2F14E687">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响应文件要求：1.本项目为现场提交响应文件，请各响应服务商在采购公告截止时间内将纸质响应文件正本1份、副本6份密封后送达至河源市人民医院内科楼二楼总务科会议室。</w:t>
      </w:r>
      <w:bookmarkStart w:id="15" w:name="_GoBack"/>
      <w:bookmarkEnd w:id="15"/>
    </w:p>
    <w:p w14:paraId="383B9B7D">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p>
    <w:p w14:paraId="77808119">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十一、评审：</w:t>
      </w:r>
    </w:p>
    <w:p w14:paraId="4F17CF27">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本次评审采用综合评分法。</w:t>
      </w:r>
      <w:r>
        <w:rPr>
          <w:rFonts w:hint="eastAsia" w:ascii="宋体" w:hAnsi="宋体" w:eastAsia="宋体" w:cs="宋体"/>
          <w:b w:val="0"/>
          <w:bCs w:val="0"/>
          <w:kern w:val="2"/>
          <w:sz w:val="24"/>
          <w:szCs w:val="24"/>
          <w:lang w:val="en-US" w:eastAsia="zh-CN" w:bidi="ar-SA"/>
        </w:rPr>
        <w:t>根据用户需求书和响应服务商提供的响应文件为依据，由评审专家采用综合评分法对各响应服务商的响应文件和报价进行综合评分。</w:t>
      </w:r>
    </w:p>
    <w:p w14:paraId="79AE7EE8">
      <w:pPr>
        <w:numPr>
          <w:ilvl w:val="0"/>
          <w:numId w:val="2"/>
        </w:numPr>
        <w:spacing w:line="360" w:lineRule="auto"/>
        <w:ind w:lef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评审专家：</w:t>
      </w:r>
      <w:r>
        <w:rPr>
          <w:rFonts w:hint="eastAsia" w:ascii="宋体" w:hAnsi="宋体" w:eastAsia="宋体" w:cs="宋体"/>
          <w:b w:val="0"/>
          <w:bCs w:val="0"/>
          <w:color w:val="auto"/>
          <w:kern w:val="2"/>
          <w:sz w:val="24"/>
          <w:szCs w:val="24"/>
          <w:lang w:val="en-US" w:eastAsia="zh-CN" w:bidi="ar-SA"/>
        </w:rPr>
        <w:t>评审专家共7人组成。其中评审专家人数不得少于评审小组成员总数的2/3，专家均委托社会代理机构在专家库中随机抽取产生。</w:t>
      </w:r>
    </w:p>
    <w:p w14:paraId="1CDFC76C">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评审专家名单在评审结果确定前严格保密。</w:t>
      </w:r>
      <w:r>
        <w:rPr>
          <w:rFonts w:hint="eastAsia" w:ascii="宋体" w:hAnsi="宋体" w:eastAsia="宋体" w:cs="宋体"/>
          <w:b w:val="0"/>
          <w:bCs w:val="0"/>
          <w:kern w:val="2"/>
          <w:sz w:val="24"/>
          <w:szCs w:val="24"/>
          <w:lang w:val="en-US" w:eastAsia="zh-CN" w:bidi="ar-SA"/>
        </w:rPr>
        <w:t>评审专家有下列情形之一的，受到邀请应主动提出回避，采购当事人也可以要求该评审专家回避：</w:t>
      </w:r>
    </w:p>
    <w:p w14:paraId="469C23A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3.1、参与采购需求论证的；</w:t>
      </w:r>
    </w:p>
    <w:p w14:paraId="74EB91FF">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3.2、参加采购活动前3年内与响应服务商存在劳动关系；</w:t>
      </w:r>
    </w:p>
    <w:p w14:paraId="643287C9">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3.3、参加采购活动前3年内担任响应服务商的董事、监事；</w:t>
      </w:r>
    </w:p>
    <w:p w14:paraId="12E3DD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3.4、参加采购活动前3年内是响应服务商的控股股东或者实际控制人；</w:t>
      </w:r>
    </w:p>
    <w:p w14:paraId="33EE730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3.5、与响应服务商的法定代表人或者负责人有夫妻、直系血亲、三代以内旁系血亲或者近姻亲关系；</w:t>
      </w:r>
    </w:p>
    <w:p w14:paraId="7FB993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3.6、与响应服务商有其他可能影响采购活动公平、公正进行的关系。</w:t>
      </w:r>
    </w:p>
    <w:p w14:paraId="2A84A307">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4、初步评审：</w:t>
      </w:r>
    </w:p>
    <w:p w14:paraId="4C1050D0">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4.1、资格符合性审查：</w:t>
      </w:r>
    </w:p>
    <w:tbl>
      <w:tblPr>
        <w:tblStyle w:val="16"/>
        <w:tblW w:w="894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090"/>
        <w:gridCol w:w="3831"/>
        <w:gridCol w:w="1134"/>
      </w:tblGrid>
      <w:tr w14:paraId="22C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85" w:type="dxa"/>
            <w:noWrap w:val="0"/>
            <w:vAlign w:val="center"/>
          </w:tcPr>
          <w:p w14:paraId="09FCF0F2">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6921" w:type="dxa"/>
            <w:gridSpan w:val="2"/>
            <w:noWrap w:val="0"/>
            <w:vAlign w:val="center"/>
          </w:tcPr>
          <w:p w14:paraId="369E5340">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审查内容</w:t>
            </w:r>
          </w:p>
        </w:tc>
        <w:tc>
          <w:tcPr>
            <w:tcW w:w="1134" w:type="dxa"/>
            <w:noWrap w:val="0"/>
            <w:vAlign w:val="center"/>
          </w:tcPr>
          <w:p w14:paraId="3E408B1A">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w:t>
            </w:r>
          </w:p>
          <w:p w14:paraId="0E2807D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审核情况</w:t>
            </w:r>
          </w:p>
        </w:tc>
      </w:tr>
      <w:tr w14:paraId="2873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85" w:type="dxa"/>
            <w:noWrap w:val="0"/>
            <w:vAlign w:val="center"/>
          </w:tcPr>
          <w:p w14:paraId="6C4A102D">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6020A452">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090" w:type="dxa"/>
            <w:noWrap w:val="0"/>
            <w:vAlign w:val="center"/>
          </w:tcPr>
          <w:p w14:paraId="70E6A97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3831" w:type="dxa"/>
            <w:noWrap w:val="0"/>
            <w:vAlign w:val="center"/>
          </w:tcPr>
          <w:p w14:paraId="198E02A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8"/>
                <w:szCs w:val="24"/>
                <w:highlight w:val="none"/>
                <w:vertAlign w:val="baseline"/>
                <w:lang w:val="en-US" w:eastAsia="zh-CN"/>
              </w:rPr>
            </w:pPr>
            <w:r>
              <w:rPr>
                <w:rFonts w:hint="eastAsia" w:ascii="宋体" w:hAnsi="宋体" w:eastAsia="宋体" w:cs="宋体"/>
                <w:color w:val="auto"/>
                <w:sz w:val="24"/>
                <w:szCs w:val="24"/>
                <w:highlight w:val="none"/>
                <w:lang w:val="en-US" w:eastAsia="zh-CN"/>
              </w:rPr>
              <w:t>具有独立承担民事责任的能力；（在中华人民共和国境内注册的法人或其他组织或自然人，响应时提交有效的营业执照（或事业法人登记证或身份证等相关证明）复印件。</w:t>
            </w:r>
          </w:p>
        </w:tc>
        <w:tc>
          <w:tcPr>
            <w:tcW w:w="1134" w:type="dxa"/>
            <w:noWrap w:val="0"/>
            <w:vAlign w:val="center"/>
          </w:tcPr>
          <w:p w14:paraId="39D240C3">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p>
        </w:tc>
      </w:tr>
      <w:tr w14:paraId="145B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E6022E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2E2AD083">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090" w:type="dxa"/>
            <w:noWrap w:val="0"/>
            <w:vAlign w:val="center"/>
          </w:tcPr>
          <w:p w14:paraId="266B0CC4">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具有良好的商业信誉和健全的财务会计制度</w:t>
            </w:r>
          </w:p>
        </w:tc>
        <w:tc>
          <w:tcPr>
            <w:tcW w:w="3831" w:type="dxa"/>
            <w:noWrap w:val="0"/>
            <w:vAlign w:val="center"/>
          </w:tcPr>
          <w:p w14:paraId="64104A4B">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具有良好的商业信誉和健全的财务会计制度，提供声明函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0D413BD3">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45B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0C39B55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5D520244">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3090" w:type="dxa"/>
            <w:noWrap w:val="0"/>
            <w:vAlign w:val="center"/>
          </w:tcPr>
          <w:p w14:paraId="689A96BE">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履行合同所</w:t>
            </w:r>
            <w:r>
              <w:rPr>
                <w:rFonts w:hint="eastAsia" w:ascii="宋体" w:hAnsi="宋体" w:eastAsia="宋体" w:cs="宋体"/>
                <w:color w:val="auto"/>
                <w:sz w:val="24"/>
                <w:szCs w:val="24"/>
                <w:highlight w:val="none"/>
                <w:lang w:eastAsia="zh-CN"/>
              </w:rPr>
              <w:t>必需</w:t>
            </w:r>
            <w:r>
              <w:rPr>
                <w:rFonts w:hint="eastAsia" w:ascii="宋体" w:hAnsi="宋体" w:eastAsia="宋体" w:cs="宋体"/>
                <w:color w:val="auto"/>
                <w:sz w:val="24"/>
                <w:szCs w:val="24"/>
                <w:highlight w:val="none"/>
              </w:rPr>
              <w:t>的设备和专业技术能力</w:t>
            </w:r>
          </w:p>
        </w:tc>
        <w:tc>
          <w:tcPr>
            <w:tcW w:w="3831" w:type="dxa"/>
            <w:noWrap w:val="0"/>
            <w:vAlign w:val="center"/>
          </w:tcPr>
          <w:p w14:paraId="4519FA0F">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履行合同所必需的设备和专业技术能力，提供声明函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4B333A0B">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rPr>
            </w:pPr>
          </w:p>
        </w:tc>
      </w:tr>
      <w:tr w14:paraId="553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51BAC1">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7B4B4B4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3090" w:type="dxa"/>
            <w:noWrap w:val="0"/>
            <w:vAlign w:val="center"/>
          </w:tcPr>
          <w:p w14:paraId="58F7B3A8">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有依法缴纳税收和社会保障资金的良好记录</w:t>
            </w:r>
          </w:p>
        </w:tc>
        <w:tc>
          <w:tcPr>
            <w:tcW w:w="3831" w:type="dxa"/>
            <w:noWrap w:val="0"/>
            <w:vAlign w:val="center"/>
          </w:tcPr>
          <w:p w14:paraId="4968C03E">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有依法缴纳税收和社会保障资金的良好记录，提供声明函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206A9AC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28B7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125245B">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4AB4B6E6">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3090" w:type="dxa"/>
            <w:noWrap w:val="0"/>
            <w:vAlign w:val="center"/>
          </w:tcPr>
          <w:p w14:paraId="10221969">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p>
        </w:tc>
        <w:tc>
          <w:tcPr>
            <w:tcW w:w="3831" w:type="dxa"/>
            <w:noWrap w:val="0"/>
            <w:vAlign w:val="center"/>
          </w:tcPr>
          <w:p w14:paraId="38545717">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r>
              <w:rPr>
                <w:rFonts w:hint="eastAsia" w:eastAsia="宋体" w:cs="宋体"/>
                <w:color w:val="auto"/>
                <w:kern w:val="2"/>
                <w:sz w:val="24"/>
                <w:szCs w:val="24"/>
                <w:highlight w:val="none"/>
                <w:lang w:val="en-US" w:eastAsia="zh-CN" w:bidi="ar-SA"/>
              </w:rPr>
              <w:t>，</w:t>
            </w:r>
            <w:r>
              <w:rPr>
                <w:rFonts w:hint="eastAsia" w:ascii="宋体" w:hAnsi="宋体" w:eastAsia="宋体" w:cs="宋体"/>
                <w:kern w:val="2"/>
                <w:sz w:val="24"/>
                <w:szCs w:val="24"/>
                <w:lang w:val="en-US" w:eastAsia="zh-CN" w:bidi="ar-SA"/>
              </w:rPr>
              <w:t>提供声明函</w:t>
            </w:r>
            <w:r>
              <w:rPr>
                <w:rFonts w:hint="eastAsia" w:ascii="宋体" w:hAnsi="宋体" w:eastAsia="宋体" w:cs="宋体"/>
                <w:color w:val="auto"/>
                <w:kern w:val="2"/>
                <w:sz w:val="24"/>
                <w:szCs w:val="24"/>
                <w:highlight w:val="none"/>
                <w:lang w:val="en-US" w:eastAsia="zh-CN" w:bidi="ar-SA"/>
              </w:rPr>
              <w:t>。</w:t>
            </w:r>
          </w:p>
        </w:tc>
        <w:tc>
          <w:tcPr>
            <w:tcW w:w="1134" w:type="dxa"/>
            <w:noWrap w:val="0"/>
            <w:vAlign w:val="center"/>
          </w:tcPr>
          <w:p w14:paraId="68FE64AF">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sz w:val="24"/>
                <w:szCs w:val="24"/>
                <w:highlight w:val="none"/>
                <w:lang w:eastAsia="zh-CN"/>
              </w:rPr>
            </w:pPr>
          </w:p>
        </w:tc>
      </w:tr>
      <w:tr w14:paraId="65E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27311FE">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3A8A327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3090" w:type="dxa"/>
            <w:noWrap w:val="0"/>
            <w:vAlign w:val="center"/>
          </w:tcPr>
          <w:p w14:paraId="71BB0D5C">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w:t>
            </w:r>
          </w:p>
        </w:tc>
        <w:tc>
          <w:tcPr>
            <w:tcW w:w="3831" w:type="dxa"/>
            <w:noWrap w:val="0"/>
            <w:vAlign w:val="center"/>
          </w:tcPr>
          <w:p w14:paraId="66C16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单位负责人为同一人或者存在直接控股、管理关系的不同供应商，不得同时参加同一合同项下的项目响应；为本项目提供整体设计、规范编制或者项目管理、监理、检测等服务的供应商，不得再参与本项目响应；）（提供声明函）。</w:t>
            </w:r>
          </w:p>
        </w:tc>
        <w:tc>
          <w:tcPr>
            <w:tcW w:w="1134" w:type="dxa"/>
            <w:noWrap w:val="0"/>
            <w:vAlign w:val="center"/>
          </w:tcPr>
          <w:p w14:paraId="2AD54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sz w:val="24"/>
                <w:szCs w:val="24"/>
                <w:highlight w:val="none"/>
              </w:rPr>
            </w:pPr>
          </w:p>
        </w:tc>
      </w:tr>
      <w:tr w14:paraId="1FC1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EF0337">
            <w:pPr>
              <w:pStyle w:val="26"/>
              <w:pageBreakBefore w:val="0"/>
              <w:kinsoku/>
              <w:wordWrap/>
              <w:overflowPunct/>
              <w:topLinePunct w:val="0"/>
              <w:bidi w:val="0"/>
              <w:spacing w:line="360" w:lineRule="auto"/>
              <w:ind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3090" w:type="dxa"/>
            <w:noWrap w:val="0"/>
            <w:vAlign w:val="center"/>
          </w:tcPr>
          <w:p w14:paraId="4ADD66E5">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信用记录</w:t>
            </w:r>
          </w:p>
        </w:tc>
        <w:tc>
          <w:tcPr>
            <w:tcW w:w="3831" w:type="dxa"/>
            <w:noWrap w:val="0"/>
            <w:vAlign w:val="center"/>
          </w:tcPr>
          <w:p w14:paraId="04BA4B46">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供应商未被列入“信用中国”网站（www.creditchina.gov.cn)“记录失信被执行人或重大税收违法失信主体或政府采购严重违法失信行为”记录名单；同时，不处于中国政府采购网（www.ccgp.gov.cn)“政府采购严重违法失信行为信息记录”中的禁止参加政府采购活动期间，（说明：①以采购代理机构于响应文件提交截止日当天截止时点后在“信用中国”网站（www.creditchina.gov.cn）及中国政府采购网（www.ccgp.gov.cn）查询结果为准，同时对信用信息查询记录截图盖章存档。②若分支机构响应：响应供应商为非独立法人（即由合法法人依法建立的分支机构），除了对响应供应商进行信息查询外，同时对总公司的信息查询记录截图盖章存档。）</w:t>
            </w:r>
          </w:p>
        </w:tc>
        <w:tc>
          <w:tcPr>
            <w:tcW w:w="1134" w:type="dxa"/>
            <w:noWrap w:val="0"/>
            <w:vAlign w:val="top"/>
          </w:tcPr>
          <w:p w14:paraId="48ADC1EC">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217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BC6F367">
            <w:pPr>
              <w:pStyle w:val="26"/>
              <w:pageBreakBefore w:val="0"/>
              <w:kinsoku/>
              <w:wordWrap/>
              <w:overflowPunct/>
              <w:topLinePunct w:val="0"/>
              <w:bidi w:val="0"/>
              <w:spacing w:line="360" w:lineRule="auto"/>
              <w:ind w:left="143" w:leftChars="0"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3090" w:type="dxa"/>
            <w:noWrap w:val="0"/>
            <w:vAlign w:val="center"/>
          </w:tcPr>
          <w:p w14:paraId="38E9BA03">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3831" w:type="dxa"/>
            <w:noWrap w:val="0"/>
            <w:vAlign w:val="center"/>
          </w:tcPr>
          <w:p w14:paraId="18DCF817">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1134" w:type="dxa"/>
            <w:noWrap w:val="0"/>
            <w:vAlign w:val="top"/>
          </w:tcPr>
          <w:p w14:paraId="3C869DF5">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7FF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2603166">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9</w:t>
            </w:r>
          </w:p>
        </w:tc>
        <w:tc>
          <w:tcPr>
            <w:tcW w:w="3090" w:type="dxa"/>
            <w:noWrap w:val="0"/>
            <w:vAlign w:val="center"/>
          </w:tcPr>
          <w:p w14:paraId="1337B0B2">
            <w:pPr>
              <w:pageBreakBefore w:val="0"/>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资质要求</w:t>
            </w:r>
          </w:p>
        </w:tc>
        <w:tc>
          <w:tcPr>
            <w:tcW w:w="3831" w:type="dxa"/>
            <w:noWrap w:val="0"/>
            <w:vAlign w:val="center"/>
          </w:tcPr>
          <w:p w14:paraId="07AF0784">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响应服务商须是已通过广东电力交易中心注册且具备交易资格的售电公司(须提供有效证明文件及售电牌照编码,证明文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tc>
        <w:tc>
          <w:tcPr>
            <w:tcW w:w="1134" w:type="dxa"/>
            <w:noWrap w:val="0"/>
            <w:vAlign w:val="top"/>
          </w:tcPr>
          <w:p w14:paraId="7D1895B0">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3B9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85" w:type="dxa"/>
            <w:noWrap w:val="0"/>
            <w:vAlign w:val="center"/>
          </w:tcPr>
          <w:p w14:paraId="1C19D0A3">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eastAsia="宋体" w:cs="宋体"/>
                <w:color w:val="auto"/>
                <w:kern w:val="2"/>
                <w:sz w:val="24"/>
                <w:szCs w:val="24"/>
                <w:highlight w:val="none"/>
                <w:lang w:val="en-US" w:eastAsia="zh-CN" w:bidi="ar-SA"/>
              </w:rPr>
              <w:t>0</w:t>
            </w:r>
          </w:p>
        </w:tc>
        <w:tc>
          <w:tcPr>
            <w:tcW w:w="3090" w:type="dxa"/>
            <w:noWrap w:val="0"/>
            <w:vAlign w:val="center"/>
          </w:tcPr>
          <w:p w14:paraId="670C88C1">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授权要求</w:t>
            </w:r>
          </w:p>
        </w:tc>
        <w:tc>
          <w:tcPr>
            <w:tcW w:w="3831" w:type="dxa"/>
            <w:noWrap w:val="0"/>
            <w:vAlign w:val="center"/>
          </w:tcPr>
          <w:p w14:paraId="1FDA3F18">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响应文件签字人不是法定代表人/负责人的是否有法定代表人/负责人的有效授权。</w:t>
            </w:r>
          </w:p>
        </w:tc>
        <w:tc>
          <w:tcPr>
            <w:tcW w:w="1134" w:type="dxa"/>
            <w:noWrap w:val="0"/>
            <w:vAlign w:val="top"/>
          </w:tcPr>
          <w:p w14:paraId="7851E9AA">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r w14:paraId="57B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85" w:type="dxa"/>
            <w:noWrap w:val="0"/>
            <w:vAlign w:val="center"/>
          </w:tcPr>
          <w:p w14:paraId="494A628C">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11</w:t>
            </w:r>
          </w:p>
        </w:tc>
        <w:tc>
          <w:tcPr>
            <w:tcW w:w="3090" w:type="dxa"/>
            <w:noWrap w:val="0"/>
            <w:vAlign w:val="center"/>
          </w:tcPr>
          <w:p w14:paraId="4AB642A6">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响应文件的签署和盖章要求的</w:t>
            </w:r>
          </w:p>
        </w:tc>
        <w:tc>
          <w:tcPr>
            <w:tcW w:w="3831" w:type="dxa"/>
            <w:noWrap w:val="0"/>
            <w:vAlign w:val="center"/>
          </w:tcPr>
          <w:p w14:paraId="656D2AD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响应文件是否符合用户需求书的签署和盖章要求的。</w:t>
            </w:r>
          </w:p>
        </w:tc>
        <w:tc>
          <w:tcPr>
            <w:tcW w:w="1134" w:type="dxa"/>
            <w:noWrap w:val="0"/>
            <w:vAlign w:val="top"/>
          </w:tcPr>
          <w:p w14:paraId="398C1B84">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bl>
    <w:p w14:paraId="029BC423">
      <w:pPr>
        <w:ind w:firstLine="480" w:firstLineChars="200"/>
        <w:jc w:val="left"/>
        <w:rPr>
          <w:rFonts w:hint="default" w:ascii="宋体" w:hAnsi="宋体" w:eastAsia="宋体" w:cs="宋体"/>
          <w:b w:val="0"/>
          <w:bCs w:val="0"/>
          <w:kern w:val="2"/>
          <w:sz w:val="24"/>
          <w:szCs w:val="24"/>
          <w:lang w:val="en-US" w:eastAsia="zh-CN" w:bidi="ar-SA"/>
        </w:rPr>
      </w:pPr>
    </w:p>
    <w:p w14:paraId="1D53F992">
      <w:pPr>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4.2、技术商务价格评审：</w:t>
      </w:r>
      <w:r>
        <w:rPr>
          <w:rFonts w:hint="eastAsia" w:ascii="宋体" w:hAnsi="宋体" w:eastAsia="宋体" w:cs="宋体"/>
          <w:b/>
          <w:bCs/>
          <w:sz w:val="24"/>
          <w:szCs w:val="24"/>
          <w:highlight w:val="none"/>
          <w:lang w:val="en-US" w:eastAsia="zh-CN"/>
        </w:rPr>
        <w:t>总分100分，其中商务部分30分、技术部分50分、价格20分。</w:t>
      </w:r>
    </w:p>
    <w:tbl>
      <w:tblPr>
        <w:tblStyle w:val="15"/>
        <w:tblW w:w="87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2118"/>
        <w:gridCol w:w="5507"/>
      </w:tblGrid>
      <w:tr w14:paraId="1FA0B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6" w:type="dxa"/>
            <w:gridSpan w:val="3"/>
            <w:noWrap w:val="0"/>
            <w:vAlign w:val="top"/>
          </w:tcPr>
          <w:p w14:paraId="4B747823">
            <w:pPr>
              <w:pStyle w:val="19"/>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评</w:t>
            </w:r>
            <w:r>
              <w:rPr>
                <w:rFonts w:hint="eastAsia" w:ascii="宋体" w:hAnsi="宋体" w:eastAsia="宋体" w:cs="宋体"/>
                <w:b/>
                <w:bCs/>
                <w:sz w:val="24"/>
                <w:szCs w:val="24"/>
                <w:lang w:val="en-US" w:eastAsia="zh-CN"/>
              </w:rPr>
              <w:t>分</w:t>
            </w:r>
            <w:r>
              <w:rPr>
                <w:rFonts w:hint="eastAsia" w:ascii="宋体" w:hAnsi="宋体" w:eastAsia="宋体" w:cs="宋体"/>
                <w:b/>
                <w:bCs/>
                <w:sz w:val="24"/>
                <w:szCs w:val="24"/>
              </w:rPr>
              <w:t>标准</w:t>
            </w:r>
          </w:p>
        </w:tc>
      </w:tr>
      <w:tr w14:paraId="4F493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restart"/>
            <w:noWrap w:val="0"/>
            <w:vAlign w:val="top"/>
          </w:tcPr>
          <w:p w14:paraId="4BA1ED0A">
            <w:pPr>
              <w:pStyle w:val="19"/>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商务部分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2118" w:type="dxa"/>
            <w:tcBorders>
              <w:right w:val="single" w:color="auto" w:sz="4" w:space="0"/>
            </w:tcBorders>
            <w:noWrap w:val="0"/>
            <w:vAlign w:val="top"/>
          </w:tcPr>
          <w:p w14:paraId="1CB388E1">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eastAsia" w:ascii="宋体" w:hAnsi="宋体" w:eastAsia="宋体" w:cs="宋体"/>
                <w:sz w:val="24"/>
                <w:szCs w:val="24"/>
              </w:rPr>
              <w:t>同类项目业绩 (</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07" w:type="dxa"/>
            <w:tcBorders>
              <w:left w:val="single" w:color="auto" w:sz="4" w:space="0"/>
            </w:tcBorders>
            <w:noWrap w:val="0"/>
            <w:vAlign w:val="top"/>
          </w:tcPr>
          <w:p w14:paraId="63FAE79D">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年至今同类项目（同类项目是指：电力交易相关）业绩情况，每提供一项合同业绩得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10</w:t>
            </w:r>
            <w:r>
              <w:rPr>
                <w:rFonts w:hint="eastAsia" w:ascii="宋体" w:hAnsi="宋体" w:eastAsia="宋体" w:cs="宋体"/>
                <w:sz w:val="24"/>
                <w:szCs w:val="24"/>
              </w:rPr>
              <w:t>分。 注：须提供合同复印件，以合同签订日期为准，同一项目分多年签订的业绩不重复计分。提供合同模糊专家无法认定的不得分。</w:t>
            </w:r>
          </w:p>
        </w:tc>
      </w:tr>
      <w:tr w14:paraId="28AF2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3353C82E">
            <w:pPr>
              <w:pStyle w:val="19"/>
              <w:spacing w:line="360" w:lineRule="auto"/>
              <w:jc w:val="center"/>
              <w:rPr>
                <w:rFonts w:hint="eastAsia" w:ascii="宋体" w:hAnsi="宋体" w:eastAsia="宋体" w:cs="宋体"/>
                <w:sz w:val="24"/>
                <w:szCs w:val="24"/>
              </w:rPr>
            </w:pPr>
          </w:p>
        </w:tc>
        <w:tc>
          <w:tcPr>
            <w:tcW w:w="2118" w:type="dxa"/>
            <w:tcBorders>
              <w:right w:val="single" w:color="auto" w:sz="4" w:space="0"/>
            </w:tcBorders>
            <w:noWrap w:val="0"/>
            <w:vAlign w:val="top"/>
          </w:tcPr>
          <w:p w14:paraId="6DE6C9E0">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技术服务人员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507" w:type="dxa"/>
            <w:tcBorders>
              <w:left w:val="single" w:color="auto" w:sz="4" w:space="0"/>
            </w:tcBorders>
            <w:noWrap w:val="0"/>
            <w:vAlign w:val="top"/>
          </w:tcPr>
          <w:p w14:paraId="7315FF1E">
            <w:pPr>
              <w:pStyle w:val="19"/>
              <w:spacing w:line="360" w:lineRule="auto"/>
              <w:jc w:val="left"/>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响应服务商</w:t>
            </w:r>
            <w:r>
              <w:rPr>
                <w:rFonts w:hint="eastAsia" w:ascii="宋体" w:hAnsi="宋体" w:eastAsia="宋体" w:cs="宋体"/>
                <w:sz w:val="24"/>
                <w:szCs w:val="24"/>
              </w:rPr>
              <w:t>拟投入的项目技术服务人员进行评分：</w:t>
            </w:r>
          </w:p>
          <w:p w14:paraId="102FE449">
            <w:pPr>
              <w:pStyle w:val="19"/>
              <w:numPr>
                <w:ilvl w:val="0"/>
                <w:numId w:val="3"/>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具有</w:t>
            </w:r>
            <w:r>
              <w:rPr>
                <w:rFonts w:hint="eastAsia" w:ascii="宋体" w:hAnsi="宋体" w:eastAsia="宋体" w:cs="宋体"/>
                <w:sz w:val="24"/>
                <w:szCs w:val="24"/>
                <w:lang w:val="en-US" w:eastAsia="zh-CN"/>
              </w:rPr>
              <w:t>中级会计师（或经济师）证书</w:t>
            </w:r>
            <w:r>
              <w:rPr>
                <w:rFonts w:hint="eastAsia" w:ascii="宋体" w:hAnsi="宋体" w:eastAsia="宋体" w:cs="宋体"/>
                <w:sz w:val="24"/>
                <w:szCs w:val="24"/>
              </w:rPr>
              <w:t>的，每提供一名得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37D51B1F">
            <w:pPr>
              <w:pStyle w:val="19"/>
              <w:numPr>
                <w:ilvl w:val="0"/>
                <w:numId w:val="3"/>
              </w:numPr>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具有注册会计师或高级会计师的，</w:t>
            </w:r>
            <w:r>
              <w:rPr>
                <w:rFonts w:hint="eastAsia" w:ascii="宋体" w:hAnsi="宋体" w:eastAsia="宋体" w:cs="宋体"/>
                <w:sz w:val="24"/>
                <w:szCs w:val="24"/>
              </w:rPr>
              <w:t>每提供一名得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044DFB1F">
            <w:pPr>
              <w:pStyle w:val="19"/>
              <w:numPr>
                <w:ilvl w:val="0"/>
                <w:numId w:val="0"/>
              </w:numPr>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rPr>
              <w:t>注：提供以下证明材料：</w:t>
            </w:r>
            <w:r>
              <w:rPr>
                <w:rFonts w:hint="eastAsia" w:ascii="宋体" w:hAnsi="宋体" w:eastAsia="宋体" w:cs="宋体"/>
                <w:sz w:val="24"/>
                <w:szCs w:val="24"/>
                <w:lang w:val="en-US" w:eastAsia="zh-CN"/>
              </w:rPr>
              <w:t>人员</w:t>
            </w:r>
            <w:r>
              <w:rPr>
                <w:rFonts w:hint="eastAsia" w:ascii="宋体" w:hAnsi="宋体" w:eastAsia="宋体" w:cs="宋体"/>
                <w:sz w:val="24"/>
                <w:szCs w:val="24"/>
              </w:rPr>
              <w:t>证书复印件</w:t>
            </w:r>
            <w:r>
              <w:rPr>
                <w:rFonts w:hint="eastAsia" w:ascii="宋体" w:hAnsi="宋体" w:eastAsia="宋体" w:cs="宋体"/>
                <w:sz w:val="24"/>
                <w:szCs w:val="24"/>
                <w:lang w:val="en-US" w:eastAsia="zh-CN"/>
              </w:rPr>
              <w:t>及</w:t>
            </w:r>
            <w:r>
              <w:rPr>
                <w:rFonts w:hint="eastAsia" w:ascii="宋体" w:hAnsi="宋体" w:eastAsia="宋体" w:cs="宋体"/>
                <w:sz w:val="24"/>
                <w:szCs w:val="24"/>
              </w:rPr>
              <w:t>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文件递交截止时间前6个月（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文件递交截止时间当月不纳入计算）内</w:t>
            </w:r>
            <w:r>
              <w:rPr>
                <w:rFonts w:hint="eastAsia" w:ascii="宋体" w:hAnsi="宋体" w:eastAsia="宋体" w:cs="宋体"/>
                <w:sz w:val="24"/>
                <w:szCs w:val="24"/>
                <w:lang w:val="en-US" w:eastAsia="zh-CN"/>
              </w:rPr>
              <w:t>连续3</w:t>
            </w:r>
            <w:r>
              <w:rPr>
                <w:rFonts w:hint="eastAsia" w:ascii="宋体" w:hAnsi="宋体" w:eastAsia="宋体" w:cs="宋体"/>
                <w:sz w:val="24"/>
                <w:szCs w:val="24"/>
              </w:rPr>
              <w:t>个月在</w:t>
            </w:r>
            <w:r>
              <w:rPr>
                <w:rFonts w:hint="eastAsia" w:ascii="宋体" w:hAnsi="宋体" w:eastAsia="宋体" w:cs="宋体"/>
                <w:sz w:val="24"/>
                <w:szCs w:val="24"/>
                <w:lang w:eastAsia="zh-CN"/>
              </w:rPr>
              <w:t>响应服务商</w:t>
            </w:r>
            <w:r>
              <w:rPr>
                <w:rFonts w:hint="eastAsia" w:ascii="宋体" w:hAnsi="宋体" w:eastAsia="宋体" w:cs="宋体"/>
                <w:sz w:val="24"/>
                <w:szCs w:val="24"/>
              </w:rPr>
              <w:t>单位缴纳的社保证明复印件；证明材料须加盖</w:t>
            </w:r>
            <w:r>
              <w:rPr>
                <w:rFonts w:hint="eastAsia" w:ascii="宋体" w:hAnsi="宋体" w:eastAsia="宋体" w:cs="宋体"/>
                <w:sz w:val="24"/>
                <w:szCs w:val="24"/>
                <w:lang w:eastAsia="zh-CN"/>
              </w:rPr>
              <w:t>响应服务商</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未提供不得分。</w:t>
            </w:r>
          </w:p>
        </w:tc>
      </w:tr>
      <w:tr w14:paraId="6389F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1111" w:type="dxa"/>
            <w:vMerge w:val="restart"/>
            <w:noWrap w:val="0"/>
            <w:vAlign w:val="top"/>
          </w:tcPr>
          <w:p w14:paraId="1568092A">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50分</w:t>
            </w:r>
            <w:r>
              <w:rPr>
                <w:rFonts w:hint="eastAsia" w:ascii="宋体" w:hAnsi="宋体" w:eastAsia="宋体" w:cs="宋体"/>
                <w:sz w:val="24"/>
                <w:szCs w:val="24"/>
                <w:lang w:eastAsia="zh-CN"/>
              </w:rPr>
              <w:t>）</w:t>
            </w:r>
          </w:p>
        </w:tc>
        <w:tc>
          <w:tcPr>
            <w:tcW w:w="2118" w:type="dxa"/>
            <w:noWrap w:val="0"/>
            <w:vAlign w:val="top"/>
          </w:tcPr>
          <w:p w14:paraId="2F8FEF88">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项目售电实施方案 (</w:t>
            </w:r>
            <w:r>
              <w:rPr>
                <w:rFonts w:hint="eastAsia" w:ascii="宋体" w:hAnsi="宋体" w:eastAsia="宋体" w:cs="宋体"/>
                <w:sz w:val="24"/>
                <w:szCs w:val="24"/>
                <w:highlight w:val="none"/>
                <w:lang w:val="en-US" w:eastAsia="zh-CN"/>
              </w:rPr>
              <w:t>7分</w:t>
            </w:r>
            <w:r>
              <w:rPr>
                <w:rFonts w:hint="eastAsia" w:ascii="宋体" w:hAnsi="宋体" w:eastAsia="宋体" w:cs="宋体"/>
                <w:sz w:val="24"/>
                <w:szCs w:val="24"/>
                <w:highlight w:val="none"/>
              </w:rPr>
              <w:t>)</w:t>
            </w:r>
          </w:p>
        </w:tc>
        <w:tc>
          <w:tcPr>
            <w:tcW w:w="5507" w:type="dxa"/>
            <w:noWrap w:val="0"/>
            <w:vAlign w:val="top"/>
          </w:tcPr>
          <w:p w14:paraId="7361EA0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提供的项目售电实施方案评价，方案应包括： ①项目重点分析及应对措施；②项目服务目标；③项目管理制度；④项目服务措施及交易方案说明。</w:t>
            </w: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 xml:space="preserve">详细内容进行评审： </w:t>
            </w:r>
          </w:p>
          <w:p w14:paraId="50ABFB89">
            <w:pPr>
              <w:pStyle w:val="19"/>
              <w:numPr>
                <w:ilvl w:val="0"/>
                <w:numId w:val="4"/>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项目售电实施方案对需求响应全面具体、针对项目全部重点难点全面剖析，能针对全部重点难点提出科学合理、可直接执行的实施方案，能有效保障本项目实施，有利于实现项目效果，得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14:paraId="365EC2D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（2）项目售电实施方案对需求响应具体，针对部分重点难点剖析，只针对部分重点难点提出科学合理，具备一定执行性的实施方案，能基本保障本项目服务实施，基本满足项目效果，得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（3）项目售电实施方案对需求响应不全面不具体，只针对部分重点难点剖析，提出方案合理性不足、难以执行的，无法保障本项目服务实施，无法实现项目效果，得1分；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（4）无提供的得0分。</w:t>
            </w:r>
          </w:p>
        </w:tc>
      </w:tr>
      <w:tr w14:paraId="6F51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2E80E14">
            <w:pPr>
              <w:spacing w:line="360" w:lineRule="auto"/>
              <w:rPr>
                <w:rFonts w:hint="eastAsia" w:ascii="宋体" w:hAnsi="宋体" w:eastAsia="宋体" w:cs="宋体"/>
                <w:sz w:val="24"/>
                <w:szCs w:val="24"/>
              </w:rPr>
            </w:pPr>
          </w:p>
        </w:tc>
        <w:tc>
          <w:tcPr>
            <w:tcW w:w="2118" w:type="dxa"/>
            <w:noWrap w:val="0"/>
            <w:vAlign w:val="top"/>
          </w:tcPr>
          <w:p w14:paraId="04DA9C2B">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用户侧保供电应急方案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c>
          <w:tcPr>
            <w:tcW w:w="5507" w:type="dxa"/>
            <w:noWrap w:val="0"/>
            <w:vAlign w:val="top"/>
          </w:tcPr>
          <w:p w14:paraId="4B7091A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提供的用户侧保供电应急方案评价，方案应包括： ①安全巡视方案；②设备故障应急处理方案；③远程咨询服务。</w:t>
            </w:r>
          </w:p>
          <w:p w14:paraId="0558D843">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的详细内容进行评审：（1）用户侧保供电应急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分；（2）用户侧保供电应急方案对需求响应具体，针对部分重点难点进剖析，并提出具备执行条件的针对措施，能基本保障本项目服务实施，基本满足项目效果，得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3）用户侧保供电应急方案对需求响应不全面不具体，只针对少部分重点或难点问题进行解析或没有剖析项目重点难点问题，提出的措施没有针对性或难以施行的，无法保障本项目服务实施，无法实现项目效果，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分。（4）无提供的得0分。</w:t>
            </w:r>
          </w:p>
        </w:tc>
      </w:tr>
      <w:tr w14:paraId="75690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AD2AEA5">
            <w:pPr>
              <w:spacing w:line="360" w:lineRule="auto"/>
              <w:rPr>
                <w:rFonts w:hint="eastAsia" w:ascii="宋体" w:hAnsi="宋体" w:eastAsia="宋体" w:cs="宋体"/>
                <w:sz w:val="24"/>
                <w:szCs w:val="24"/>
              </w:rPr>
            </w:pPr>
          </w:p>
        </w:tc>
        <w:tc>
          <w:tcPr>
            <w:tcW w:w="2118" w:type="dxa"/>
            <w:noWrap w:val="0"/>
            <w:vAlign w:val="top"/>
          </w:tcPr>
          <w:p w14:paraId="7BAB38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电量服务保障方案(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21DC4BB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提供的电量服务保障方案评价，方案应包括：①电价平稳保障方案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②用电量需求保障方案。</w:t>
            </w:r>
          </w:p>
          <w:p w14:paraId="629E32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的详细内容进行评审：（1）电量服务保障方案对需求响应全面具体，针对电价、电量保障进行全面剖析，提出方案完善、有针对性，方案合理可行，能有效保障本项目实施，有利于实现服务效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分；（2）电量服务保障方案对需求响应具体，对</w:t>
            </w:r>
            <w:r>
              <w:rPr>
                <w:rFonts w:hint="eastAsia" w:ascii="宋体" w:hAnsi="宋体" w:eastAsia="宋体" w:cs="宋体"/>
                <w:color w:val="auto"/>
                <w:sz w:val="24"/>
                <w:szCs w:val="24"/>
                <w:lang w:val="en-US" w:eastAsia="zh-CN"/>
              </w:rPr>
              <w:t>电</w:t>
            </w:r>
            <w:r>
              <w:rPr>
                <w:rFonts w:hint="eastAsia" w:ascii="宋体" w:hAnsi="宋体" w:eastAsia="宋体" w:cs="宋体"/>
                <w:color w:val="auto"/>
                <w:sz w:val="24"/>
                <w:szCs w:val="24"/>
              </w:rPr>
              <w:t>价、电量保障提出包含重点要素的方案、有一定的针对性，方案可行，能基本保障本项目服务实施，基本满足服务效果，得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分；（3）电量服务保障方案对需求响应不全面不具体，对电价、电量保障提出的方案不完整、无针对性，方案难以执行，无法保障本项目服务实施，无法实现服务效果，得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 （4）无提供的得0分。</w:t>
            </w:r>
          </w:p>
        </w:tc>
      </w:tr>
      <w:tr w14:paraId="0D41D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66F9C046">
            <w:pPr>
              <w:spacing w:line="360" w:lineRule="auto"/>
              <w:rPr>
                <w:rFonts w:hint="eastAsia" w:ascii="宋体" w:hAnsi="宋体" w:eastAsia="宋体" w:cs="宋体"/>
                <w:sz w:val="24"/>
                <w:szCs w:val="24"/>
              </w:rPr>
            </w:pPr>
          </w:p>
        </w:tc>
        <w:tc>
          <w:tcPr>
            <w:tcW w:w="2118" w:type="dxa"/>
            <w:noWrap w:val="0"/>
            <w:vAlign w:val="top"/>
          </w:tcPr>
          <w:p w14:paraId="3B8CC28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用电效能分析及优化方案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4884215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提供的用电效能分析及优化方案评价。方案应包括：①用电效能分析；②优化方案。</w:t>
            </w:r>
          </w:p>
          <w:p w14:paraId="7E1C9AE2">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提供的用电效能分析及优化方案的详细内容进行评审：（1）用电效能分析及优化方案对需求响应全面具体，优化建议完全贴合委托人实际情况，可行性高，能有效提升用电效能，得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分；（2）用电效能分析及优化方案对需求响应具体，优化建议基本贴合委托人实际情况，有一定的可行性，能够提升用电效能，得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分；（3）用电效能分析及优化方案对需求响应不全面不具体，部分贴合委托人实际情况，可行性不足的，得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分；（4）无提供的得0分。</w:t>
            </w:r>
          </w:p>
        </w:tc>
      </w:tr>
      <w:tr w14:paraId="53BE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383B0403">
            <w:pPr>
              <w:spacing w:line="360" w:lineRule="auto"/>
              <w:rPr>
                <w:rFonts w:hint="eastAsia" w:ascii="宋体" w:hAnsi="宋体" w:eastAsia="宋体" w:cs="宋体"/>
                <w:sz w:val="24"/>
                <w:szCs w:val="24"/>
              </w:rPr>
            </w:pPr>
          </w:p>
        </w:tc>
        <w:tc>
          <w:tcPr>
            <w:tcW w:w="2118" w:type="dxa"/>
            <w:noWrap w:val="0"/>
            <w:vAlign w:val="top"/>
          </w:tcPr>
          <w:p w14:paraId="054FA49B">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5.增值服务方案（20分）</w:t>
            </w:r>
          </w:p>
        </w:tc>
        <w:tc>
          <w:tcPr>
            <w:tcW w:w="5507" w:type="dxa"/>
            <w:noWrap w:val="0"/>
            <w:vAlign w:val="top"/>
          </w:tcPr>
          <w:p w14:paraId="07F0E659">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响应服务商提供电力技术相关的增值服务方案，内容包括但不限于运维、抢修响应能力、专业化运维团队、智能化数字化运维工具等；方案需具有成功实施类似增值服务案例及体现经济性、安全性。                （1）方案合理，内容详细，符合本项目特性的服务要求，完全满足且优于项目需求的，得20分； </w:t>
            </w:r>
          </w:p>
          <w:p w14:paraId="75067117">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（2）方案较合理，内容较详细，符合一般的服务要求，基本满足项目需求的，得12分； </w:t>
            </w:r>
          </w:p>
          <w:p w14:paraId="524BFACC">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（3）方案不够合理，内容简单，不完全符合一般的服务要求，不完全满足项目需求的，得4分； </w:t>
            </w:r>
          </w:p>
          <w:p w14:paraId="2F07C961">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（4）未提供方案不得分。                                      </w:t>
            </w:r>
          </w:p>
        </w:tc>
      </w:tr>
      <w:tr w14:paraId="23D2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17C06A45">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20分</w:t>
            </w:r>
            <w:r>
              <w:rPr>
                <w:rFonts w:hint="eastAsia" w:ascii="宋体" w:hAnsi="宋体" w:eastAsia="宋体" w:cs="宋体"/>
                <w:sz w:val="24"/>
                <w:szCs w:val="24"/>
                <w:lang w:eastAsia="zh-CN"/>
              </w:rPr>
              <w:t>）</w:t>
            </w:r>
          </w:p>
        </w:tc>
        <w:tc>
          <w:tcPr>
            <w:tcW w:w="2118" w:type="dxa"/>
            <w:noWrap w:val="0"/>
            <w:vAlign w:val="top"/>
          </w:tcPr>
          <w:p w14:paraId="2CC92FCA">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报价得分 (</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507" w:type="dxa"/>
            <w:noWrap w:val="0"/>
            <w:vAlign w:val="top"/>
          </w:tcPr>
          <w:p w14:paraId="08BD782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要求且</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最低的固定部分</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单价为评标基准价。报价得分=（评标基准价/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报价）×价格分分值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评标过程中，不得去掉报价中的最高报价和最低报价。</w:t>
            </w:r>
          </w:p>
        </w:tc>
      </w:tr>
    </w:tbl>
    <w:p w14:paraId="7B8852B9">
      <w:pPr>
        <w:numPr>
          <w:ilvl w:val="0"/>
          <w:numId w:val="0"/>
        </w:numPr>
        <w:spacing w:line="360" w:lineRule="auto"/>
        <w:rPr>
          <w:rFonts w:hint="eastAsia" w:ascii="宋体" w:hAnsi="宋体" w:eastAsia="宋体" w:cs="宋体"/>
          <w:b/>
          <w:bCs/>
          <w:kern w:val="2"/>
          <w:sz w:val="24"/>
          <w:szCs w:val="24"/>
          <w:lang w:val="en-US" w:eastAsia="zh-CN" w:bidi="ar-SA"/>
        </w:rPr>
      </w:pPr>
    </w:p>
    <w:p w14:paraId="0A71EB99">
      <w:pPr>
        <w:numPr>
          <w:ilvl w:val="0"/>
          <w:numId w:val="0"/>
        </w:numPr>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5、确定成交服务商：</w:t>
      </w:r>
      <w:r>
        <w:rPr>
          <w:rFonts w:hint="eastAsia" w:ascii="宋体" w:hAnsi="宋体" w:eastAsia="宋体" w:cs="宋体"/>
          <w:b w:val="0"/>
          <w:bCs w:val="0"/>
          <w:kern w:val="2"/>
          <w:sz w:val="24"/>
          <w:szCs w:val="24"/>
          <w:lang w:val="en-US" w:eastAsia="zh-CN" w:bidi="ar-SA"/>
        </w:rPr>
        <w:t>评审小组按照综合得分由高到低推荐3名成交候选人。（综合得分相同的，按响应报价由低到高顺序排列，综合得分和响应报价均相同的，按技术指标由优至劣顺序排列；如以上都相同的，名次由评审小组投票确定。法律法规有明确规定的，以法律法规规定为准）除用户需求书另有规定的，推荐综合得分排名第一的响应供应商为第一成交候选人，排名第二的响应供应商为第二成交候选人，排名第三的响应供应商为第三成交候选人，并出具书面评审报告。</w:t>
      </w:r>
    </w:p>
    <w:p w14:paraId="420FB52B">
      <w:pPr>
        <w:numPr>
          <w:ilvl w:val="0"/>
          <w:numId w:val="0"/>
        </w:numPr>
        <w:rPr>
          <w:rFonts w:hint="eastAsia" w:ascii="宋体" w:hAnsi="宋体" w:eastAsia="宋体" w:cs="宋体"/>
          <w:b/>
          <w:bCs/>
          <w:kern w:val="2"/>
          <w:sz w:val="28"/>
          <w:szCs w:val="28"/>
          <w:lang w:val="en-US" w:eastAsia="zh-CN" w:bidi="ar-SA"/>
        </w:rPr>
      </w:pPr>
    </w:p>
    <w:p w14:paraId="3CC0B8FC">
      <w:pPr>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十二、合同：</w:t>
      </w:r>
    </w:p>
    <w:p w14:paraId="33B3C199">
      <w:pPr>
        <w:rPr>
          <w:rFonts w:hint="eastAsia" w:ascii="仿宋_GB2312" w:hAnsi="仿宋_GB2312" w:eastAsia="仿宋_GB2312" w:cs="仿宋_GB2312"/>
          <w:b/>
          <w:bCs/>
          <w:sz w:val="28"/>
          <w:szCs w:val="28"/>
          <w:lang w:val="en-US" w:eastAsia="zh-CN"/>
        </w:rPr>
      </w:pPr>
    </w:p>
    <w:p w14:paraId="0F2EF3E2">
      <w:pPr>
        <w:spacing w:before="150" w:after="150"/>
        <w:ind w:left="0" w:right="0"/>
        <w:jc w:val="both"/>
        <w:rPr>
          <w:rFonts w:hint="eastAsia" w:asciiTheme="minorHAnsi" w:hAnsiTheme="minorHAnsi" w:eastAsiaTheme="minorEastAsia" w:cstheme="minorBidi"/>
          <w:b/>
          <w:sz w:val="48"/>
          <w:szCs w:val="48"/>
          <w:lang w:val="en-US" w:eastAsia="zh-Hans"/>
        </w:rPr>
      </w:pPr>
      <w:r>
        <w:rPr>
          <w:rFonts w:hint="eastAsia" w:asciiTheme="minorHAnsi" w:hAnsiTheme="minorHAnsi" w:eastAsiaTheme="minorEastAsia" w:cstheme="minorBidi"/>
          <w:color w:val="222222"/>
          <w:sz w:val="60"/>
          <w:szCs w:val="48"/>
          <w:lang w:val="en-US" w:eastAsia="zh-Hans"/>
        </w:rPr>
        <w:t xml:space="preserve"> </w:t>
      </w:r>
    </w:p>
    <w:p w14:paraId="53DC1EF8">
      <w:pPr>
        <w:spacing w:before="0" w:after="0"/>
        <w:ind w:left="0" w:right="0"/>
        <w:jc w:val="center"/>
        <w:rPr>
          <w:rFonts w:hint="eastAsia" w:asciiTheme="minorHAnsi" w:hAnsiTheme="minorHAnsi" w:eastAsiaTheme="minorEastAsia" w:cstheme="minorBidi"/>
          <w:sz w:val="48"/>
          <w:szCs w:val="48"/>
          <w:lang w:val="en-US" w:eastAsia="zh-Hans"/>
        </w:rPr>
      </w:pPr>
      <w:r>
        <w:rPr>
          <w:rFonts w:hint="eastAsia" w:asciiTheme="minorHAnsi" w:hAnsiTheme="minorHAnsi" w:eastAsiaTheme="minorEastAsia" w:cstheme="minorBidi"/>
          <w:b/>
          <w:sz w:val="48"/>
          <w:szCs w:val="48"/>
          <w:lang w:val="en-US" w:eastAsia="zh-Hans"/>
        </w:rPr>
        <w:t>合　同　书</w:t>
      </w:r>
    </w:p>
    <w:p w14:paraId="3E7D130B">
      <w:pPr>
        <w:spacing w:before="0" w:after="0"/>
        <w:ind w:left="0" w:right="0"/>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p>
    <w:p w14:paraId="76BA6571">
      <w:pPr>
        <w:spacing w:before="150" w:after="150"/>
        <w:ind w:left="0" w:right="0"/>
        <w:jc w:val="center"/>
        <w:rPr>
          <w:rFonts w:hint="eastAsia" w:asciiTheme="minorHAnsi" w:hAnsiTheme="minorHAnsi" w:eastAsiaTheme="minorEastAsia" w:cstheme="minorBidi"/>
          <w:lang w:val="en-US" w:eastAsia="zh-Hans"/>
        </w:rPr>
      </w:pPr>
    </w:p>
    <w:p w14:paraId="243D8747">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项目编号：HYRY-2026-001</w:t>
      </w:r>
    </w:p>
    <w:p w14:paraId="1D7E3262">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项目名称：河源市人民医院电力市场交易代购服务项目</w:t>
      </w:r>
    </w:p>
    <w:p w14:paraId="2E3B2624">
      <w:pPr>
        <w:numPr>
          <w:ilvl w:val="0"/>
          <w:numId w:val="0"/>
        </w:numPr>
        <w:rPr>
          <w:rFonts w:hint="eastAsia" w:ascii="仿宋_GB2312" w:hAnsi="仿宋_GB2312" w:eastAsia="仿宋_GB2312" w:cs="仿宋_GB2312"/>
          <w:sz w:val="28"/>
          <w:szCs w:val="28"/>
          <w:lang w:val="en-US" w:eastAsia="zh-CN"/>
        </w:rPr>
      </w:pPr>
    </w:p>
    <w:p w14:paraId="5A374260">
      <w:pPr>
        <w:pStyle w:val="19"/>
        <w:spacing w:after="120" w:afterAutospacing="0" w:line="300" w:lineRule="auto"/>
        <w:ind w:firstLine="420"/>
        <w:jc w:val="both"/>
        <w:rPr>
          <w:rFonts w:ascii="Times New Roman" w:hAnsi="Times New Roman" w:eastAsia="宋体" w:cs="Times New Roman"/>
          <w:b/>
          <w:color w:val="000000"/>
          <w:sz w:val="24"/>
        </w:rPr>
      </w:pPr>
    </w:p>
    <w:p w14:paraId="3BB01462">
      <w:pPr>
        <w:pStyle w:val="19"/>
        <w:spacing w:after="120" w:afterAutospacing="0" w:line="300" w:lineRule="auto"/>
        <w:ind w:firstLine="420"/>
        <w:jc w:val="both"/>
        <w:rPr>
          <w:rFonts w:ascii="Times New Roman" w:hAnsi="Times New Roman" w:eastAsia="宋体" w:cs="Times New Roman"/>
          <w:b/>
          <w:color w:val="000000"/>
          <w:sz w:val="24"/>
        </w:rPr>
      </w:pPr>
    </w:p>
    <w:p w14:paraId="752CAD8B">
      <w:pPr>
        <w:pStyle w:val="19"/>
        <w:spacing w:after="120" w:afterAutospacing="0" w:line="300" w:lineRule="auto"/>
        <w:ind w:firstLine="420"/>
        <w:jc w:val="both"/>
        <w:rPr>
          <w:rFonts w:ascii="Times New Roman" w:hAnsi="Times New Roman" w:eastAsia="宋体" w:cs="Times New Roman"/>
          <w:sz w:val="24"/>
        </w:rPr>
      </w:pPr>
      <w:r>
        <w:rPr>
          <w:rFonts w:ascii="Times New Roman" w:hAnsi="Times New Roman" w:eastAsia="宋体" w:cs="Times New Roman"/>
          <w:b/>
          <w:color w:val="000000"/>
          <w:sz w:val="24"/>
        </w:rPr>
        <w:t>委托方（以下简称甲方）：河源市人民医院</w:t>
      </w:r>
    </w:p>
    <w:p w14:paraId="4F4CF36C">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地址：</w:t>
      </w:r>
      <w:r>
        <w:rPr>
          <w:rFonts w:ascii="Times New Roman" w:hAnsi="Times New Roman" w:eastAsia="宋体" w:cs="Times New Roman"/>
          <w:sz w:val="24"/>
        </w:rPr>
        <w:t xml:space="preserve"> </w:t>
      </w:r>
      <w:r>
        <w:rPr>
          <w:rFonts w:ascii="Times New Roman" w:hAnsi="Times New Roman" w:eastAsia="宋体" w:cs="Times New Roman"/>
          <w:color w:val="000000"/>
          <w:sz w:val="24"/>
        </w:rPr>
        <w:t>河源市源城区文祥路733号</w:t>
      </w:r>
    </w:p>
    <w:p w14:paraId="3CB8DB40">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法定代表人（负责人）：何鹏程</w:t>
      </w:r>
    </w:p>
    <w:p w14:paraId="3649449D">
      <w:pPr>
        <w:pStyle w:val="7"/>
        <w:widowControl/>
        <w:ind w:left="0" w:leftChars="0" w:firstLine="482" w:firstLineChars="200"/>
      </w:pPr>
      <w:r>
        <w:rPr>
          <w:b/>
          <w:color w:val="000000"/>
        </w:rPr>
        <w:t>受托方（以下简称乙方）：</w:t>
      </w:r>
    </w:p>
    <w:p w14:paraId="61C511A9">
      <w:pPr>
        <w:pStyle w:val="7"/>
        <w:widowControl/>
        <w:ind w:left="0" w:leftChars="0" w:firstLine="480" w:firstLineChars="200"/>
        <w:rPr>
          <w:color w:val="000000"/>
        </w:rPr>
      </w:pPr>
      <w:r>
        <w:rPr>
          <w:color w:val="000000"/>
        </w:rPr>
        <w:t>地址：</w:t>
      </w:r>
    </w:p>
    <w:p w14:paraId="46B6074F">
      <w:pPr>
        <w:pStyle w:val="7"/>
        <w:widowControl/>
        <w:ind w:left="0" w:leftChars="0" w:firstLine="480" w:firstLineChars="200"/>
        <w:rPr>
          <w:color w:val="000000"/>
        </w:rPr>
      </w:pPr>
      <w:r>
        <w:rPr>
          <w:color w:val="000000"/>
        </w:rPr>
        <w:t>法定代表人：</w:t>
      </w:r>
    </w:p>
    <w:p w14:paraId="16947345">
      <w:pPr>
        <w:pStyle w:val="7"/>
        <w:widowControl/>
        <w:ind w:left="0" w:leftChars="0" w:firstLine="480" w:firstLineChars="200"/>
        <w:rPr>
          <w:color w:val="000000"/>
        </w:rPr>
      </w:pPr>
    </w:p>
    <w:p w14:paraId="54E9AE81">
      <w:pPr>
        <w:pStyle w:val="7"/>
        <w:widowControl/>
        <w:ind w:left="0" w:leftChars="0" w:firstLine="480" w:firstLineChars="200"/>
        <w:rPr>
          <w:rFonts w:hint="eastAsia" w:ascii="仿宋_GB2312" w:hAnsi="仿宋_GB2312" w:eastAsia="仿宋_GB2312" w:cs="仿宋_GB2312"/>
          <w:sz w:val="28"/>
          <w:szCs w:val="28"/>
          <w:lang w:val="en-US" w:eastAsia="zh-CN"/>
        </w:rPr>
      </w:pPr>
      <w:r>
        <w:rPr>
          <w:color w:val="000000"/>
        </w:rPr>
        <w:t>根据</w:t>
      </w:r>
      <w:r>
        <w:rPr>
          <w:rFonts w:hint="eastAsia"/>
          <w:color w:val="000000"/>
          <w:lang w:val="en-US" w:eastAsia="zh-CN"/>
        </w:rPr>
        <w:t>2026</w:t>
      </w:r>
      <w:r>
        <w:rPr>
          <w:color w:val="000000"/>
        </w:rPr>
        <w:t>年</w:t>
      </w:r>
      <w:r>
        <w:rPr>
          <w:rFonts w:hint="eastAsia"/>
          <w:color w:val="000000"/>
          <w:lang w:val="en-US" w:eastAsia="zh-CN"/>
        </w:rPr>
        <w:t xml:space="preserve">  </w:t>
      </w:r>
      <w:r>
        <w:rPr>
          <w:color w:val="000000"/>
        </w:rPr>
        <w:t>月</w:t>
      </w:r>
      <w:r>
        <w:rPr>
          <w:rFonts w:hint="eastAsia"/>
          <w:color w:val="000000"/>
          <w:lang w:val="en-US" w:eastAsia="zh-CN"/>
        </w:rPr>
        <w:t xml:space="preserve">   </w:t>
      </w:r>
      <w:r>
        <w:rPr>
          <w:color w:val="000000"/>
        </w:rPr>
        <w:t>日采购项目的采购结果，按照《中华人民共和国政府采购法》、《中华人民共和国民法典》及有关法律、法规的规定，甲方将河源市人民医院及其附属</w:t>
      </w:r>
      <w:r>
        <w:rPr>
          <w:rFonts w:hint="eastAsia"/>
          <w:color w:val="000000"/>
          <w:lang w:val="en-US" w:eastAsia="zh-CN"/>
        </w:rPr>
        <w:t>机构电力市场交易代购服务</w:t>
      </w:r>
      <w:r>
        <w:rPr>
          <w:color w:val="000000"/>
        </w:rPr>
        <w:t>全权委托乙方实行统一管理，在自愿平等、协商一致的基础上订立本合同，以供双方共同遵守。</w:t>
      </w:r>
    </w:p>
    <w:p w14:paraId="06684C79">
      <w:pPr>
        <w:numPr>
          <w:ilvl w:val="0"/>
          <w:numId w:val="5"/>
        </w:numPr>
        <w:spacing w:line="360" w:lineRule="auto"/>
        <w:ind w:firstLine="482"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项目名称：</w:t>
      </w:r>
      <w:r>
        <w:rPr>
          <w:rFonts w:hint="eastAsia" w:ascii="Times New Roman" w:hAnsi="Times New Roman" w:eastAsia="宋体" w:cs="Times New Roman"/>
          <w:color w:val="000000"/>
          <w:kern w:val="0"/>
          <w:sz w:val="24"/>
          <w:szCs w:val="20"/>
          <w:lang w:val="en-US" w:eastAsia="zh-CN"/>
        </w:rPr>
        <w:t>河源市人民医院电力市场交易代购服务采购项目</w:t>
      </w:r>
    </w:p>
    <w:p w14:paraId="6F8C18CC">
      <w:pPr>
        <w:spacing w:line="360" w:lineRule="auto"/>
        <w:ind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eastAsia" w:ascii="Times New Roman" w:hAnsi="Times New Roman" w:eastAsia="宋体" w:cs="Times New Roman"/>
          <w:b/>
          <w:bCs/>
          <w:color w:val="000000"/>
          <w:kern w:val="0"/>
          <w:sz w:val="24"/>
          <w:szCs w:val="20"/>
          <w:lang w:val="en-US" w:eastAsia="zh-CN"/>
        </w:rPr>
        <w:t>、项目金额：</w:t>
      </w:r>
      <w:r>
        <w:rPr>
          <w:rFonts w:hint="eastAsia" w:ascii="Times New Roman" w:hAnsi="Times New Roman" w:eastAsia="宋体" w:cs="Times New Roman"/>
          <w:color w:val="000000"/>
          <w:kern w:val="0"/>
          <w:sz w:val="24"/>
          <w:szCs w:val="20"/>
          <w:lang w:val="en-US" w:eastAsia="zh-CN"/>
        </w:rPr>
        <w:t>按实结算</w:t>
      </w:r>
    </w:p>
    <w:p w14:paraId="5AF7E1EF">
      <w:pPr>
        <w:spacing w:line="360" w:lineRule="auto"/>
        <w:ind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三、</w:t>
      </w:r>
      <w:r>
        <w:rPr>
          <w:rFonts w:hint="eastAsia" w:ascii="Times New Roman" w:hAnsi="Times New Roman" w:eastAsia="宋体" w:cs="Times New Roman"/>
          <w:b/>
          <w:bCs/>
          <w:color w:val="000000"/>
          <w:kern w:val="0"/>
          <w:sz w:val="24"/>
          <w:szCs w:val="20"/>
          <w:lang w:val="en-US" w:eastAsia="zh-CN"/>
        </w:rPr>
        <w:t>项目期限及价格：</w:t>
      </w:r>
    </w:p>
    <w:tbl>
      <w:tblPr>
        <w:tblStyle w:val="15"/>
        <w:tblW w:w="8235"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45"/>
        <w:gridCol w:w="1875"/>
        <w:gridCol w:w="1665"/>
        <w:gridCol w:w="2550"/>
      </w:tblGrid>
      <w:tr w14:paraId="73F7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9FAB3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6D00D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9E74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预估用电量</w:t>
            </w:r>
          </w:p>
        </w:tc>
        <w:tc>
          <w:tcPr>
            <w:tcW w:w="2550"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A8D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单价（元/千瓦时）</w:t>
            </w:r>
          </w:p>
        </w:tc>
      </w:tr>
      <w:tr w14:paraId="2CB6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14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CE70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河源市人民医院电力市场交易代购服务项目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61F2F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42661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2625万千瓦时</w:t>
            </w:r>
          </w:p>
        </w:tc>
        <w:tc>
          <w:tcPr>
            <w:tcW w:w="255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22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p>
        </w:tc>
      </w:tr>
    </w:tbl>
    <w:p w14:paraId="020F75A9">
      <w:pPr>
        <w:spacing w:line="360" w:lineRule="auto"/>
        <w:ind w:left="239" w:leftChars="114"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备注：2027年售电电价按照广东电力交易中心有限责任公司最新发布文件的年度交易成交均价下限暂定价格执行。</w:t>
      </w:r>
    </w:p>
    <w:p w14:paraId="47E18B1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四、服务内容：</w:t>
      </w:r>
    </w:p>
    <w:p w14:paraId="077CCB7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包含但不限于以下内容：</w:t>
      </w:r>
    </w:p>
    <w:p w14:paraId="30EBF44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1.代理参与电力市场化交易，负责每月交易电量申报、交易、结算工作，申报前需与甲方确认当月预计用电量；</w:t>
      </w:r>
    </w:p>
    <w:p w14:paraId="79763F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2.乙方负责电力交易平台市场注册及后期电力交易相关的全周期电力交易服务，确保甲方正常参与每月交易；</w:t>
      </w:r>
    </w:p>
    <w:p w14:paraId="7A1F17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负责电量电费分析、电力技术咨询、电力技术服务，重点包括与电网企业的沟通，发行电费准确性、合理性分析，相应发票获取及用电手续办理等业务，每月提供交易电量结算清单，明确交易电量和电价，并如实向甲方提供真实准确的交易相关信息和资料；</w:t>
      </w:r>
    </w:p>
    <w:p w14:paraId="092C2926">
      <w:pPr>
        <w:numPr>
          <w:ilvl w:val="0"/>
          <w:numId w:val="0"/>
        </w:numPr>
        <w:spacing w:line="360" w:lineRule="auto"/>
        <w:ind w:left="0" w:leftChars="0"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提供的购电服务应不改变甲方原有的用电习惯，供电模式和供电质量保障不变（尤其保障手术室、ICU、急诊等高可靠性区域供电稳定），所有交易流程全权委托乙方进行，具体工作内容及范围以甲方委托为准。</w:t>
      </w:r>
    </w:p>
    <w:p w14:paraId="044E772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五、服务要求：</w:t>
      </w:r>
    </w:p>
    <w:p w14:paraId="76193C3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响应服务商按国家有关法规、规定和技术规范，提供全周期电力交易服务和用电增值服务：</w:t>
      </w:r>
    </w:p>
    <w:p w14:paraId="651566B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1.按照国家有关法规、规定和技术规范，为甲方提供电力交易服务，参与电力市场交易并按规定结算，不得存在违规交易行为；</w:t>
      </w:r>
    </w:p>
    <w:p w14:paraId="6BC14EAA">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2.向甲方提供真实准确的有关电力直接交易的相关信息及资料，不得提供虚假的或误导性的信息；</w:t>
      </w:r>
    </w:p>
    <w:p w14:paraId="2C8EBA1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3.根据国家有关法规支付电力交易相关费用；</w:t>
      </w:r>
    </w:p>
    <w:p w14:paraId="05EAAF54">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4.协助甲方申请办理电力交易有关手续，及时响应甲方咨询；</w:t>
      </w:r>
    </w:p>
    <w:p w14:paraId="23A693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 用电应急保障服务：乙方应建立针对甲方的用电应急保障机制。当发生停电预警、计划性停电通知或突发用电故障时，乙方应在接到甲方通知后15分钟内响应，并履行以下义务：</w:t>
      </w:r>
    </w:p>
    <w:p w14:paraId="3F87F28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（1）立即向电网企业了解情况，并在30分钟内将故障原因、预计恢复时间等信息书面告知甲方联系人；</w:t>
      </w:r>
    </w:p>
    <w:p w14:paraId="60F0F20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（2）积极协调电网企业优先恢复供电，特别是手术室、ICU、急诊等高可靠性区域的电力供应；</w:t>
      </w:r>
    </w:p>
    <w:p w14:paraId="0D53949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（3）因电力市场交易或结算原因可能导致甲方用电中断的，乙方应提前48小时书面预警，并采取一切必要措施避免中断发生。</w:t>
      </w:r>
    </w:p>
    <w:p w14:paraId="399E1E5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乙方未履行上述应急保障义务的，应承担采购需求中约定的违约责任。</w:t>
      </w:r>
    </w:p>
    <w:p w14:paraId="24278E06">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六、交易模式：</w:t>
      </w:r>
    </w:p>
    <w:p w14:paraId="2126254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固定价格电量比例：90%</w:t>
      </w:r>
    </w:p>
    <w:p w14:paraId="5A92723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市场联动价格电量比例：10%</w:t>
      </w:r>
    </w:p>
    <w:p w14:paraId="7A4731C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  价格构成：</w:t>
      </w:r>
    </w:p>
    <w:p w14:paraId="373060C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固定价格部分：电能量价格为________ 元/千瓦时（1兆瓦时等于1000千瓦时，100元/兆瓦时等于0.1元/千瓦时）。固定价格电费= 甲方实际用电量 × 90% × 固定价格。</w:t>
      </w:r>
    </w:p>
    <w:p w14:paraId="32B03CC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1D25C57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输配电费、政府性基金及附加等：按电网公司及交易中心政策执行。</w:t>
      </w:r>
    </w:p>
    <w:p w14:paraId="7E4A57F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代理服务费等已包含在上述费用中，乙方不得再向甲方主张合同明确约定以外的任何费用。</w:t>
      </w:r>
    </w:p>
    <w:p w14:paraId="72EB4E2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357C55C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  偏差考核：偏离电量100%由乙方承担。</w:t>
      </w:r>
    </w:p>
    <w:p w14:paraId="2F0D8AA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七、付款方式及履约保证金：</w:t>
      </w:r>
    </w:p>
    <w:p w14:paraId="37D218D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（一）付款方式：支付比例100%；</w:t>
      </w:r>
    </w:p>
    <w:p w14:paraId="33F14CA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 xml:space="preserve">1.结算原则：月结月清。电费由甲方直接与中国南方电网公司广东电网公司结算，乙方和甲方不产生财务往来。 </w:t>
      </w:r>
    </w:p>
    <w:p w14:paraId="0605484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2.票据与明细：乙方应确保甲方能够从电网公司获取合规的专用发票。同时，乙方有义务每月向甲方提供清晰、准确的结算清单，明确交易电量、电价，并拆分输配电价、政府性基金及附加等组成部分。</w:t>
      </w:r>
    </w:p>
    <w:p w14:paraId="5B88C59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如项目发生合同融资，甲方需将合同款项支付到合同约定收款账户。</w:t>
      </w:r>
    </w:p>
    <w:p w14:paraId="5ED6271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default" w:ascii="Times New Roman" w:hAnsi="Times New Roman" w:eastAsia="宋体" w:cs="Times New Roman"/>
          <w:color w:val="000000"/>
          <w:kern w:val="0"/>
          <w:sz w:val="24"/>
          <w:szCs w:val="20"/>
          <w:lang w:val="en-US" w:eastAsia="zh-CN"/>
        </w:rPr>
        <w:t>履约保证金</w:t>
      </w:r>
      <w:r>
        <w:rPr>
          <w:rFonts w:hint="eastAsia" w:ascii="Times New Roman" w:hAnsi="Times New Roman" w:eastAsia="宋体" w:cs="Times New Roman"/>
          <w:color w:val="000000"/>
          <w:kern w:val="0"/>
          <w:sz w:val="24"/>
          <w:szCs w:val="20"/>
          <w:lang w:val="en-US" w:eastAsia="zh-CN"/>
        </w:rPr>
        <w:t>：</w:t>
      </w:r>
    </w:p>
    <w:p w14:paraId="225A754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缴纳金额：10万元</w:t>
      </w:r>
    </w:p>
    <w:p w14:paraId="324588D8">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0"/>
          <w:lang w:val="en-US" w:eastAsia="zh-CN"/>
        </w:rPr>
        <w:t>缴费渠道：电子保函（保险）、其他</w:t>
      </w:r>
    </w:p>
    <w:p w14:paraId="51E83705">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合同签订后，乙方向甲方支付10万元作为履约保证金。履约保证金应当以银行转账或者金融机构、担保机构出具的保函等非现金形式提交。合同期届满后，乙方无违约行为，甲方在合同履行完毕之日起30个工作日内无息退还履约保证金。甲方逾期退还履约保证金的，乙方可要求甲方按中国人民银行授权的全国银行间同业拆借中心在逾期当月20日（遇节假日顺延）9时30分公布的1年期贷款市场报价利率上浮20％后的利率支付超期资金占用费，但因乙方自身原因导致无法及时退还的除外。 履约保证金可以以履约保函（保险）形式提供。</w:t>
      </w:r>
    </w:p>
    <w:p w14:paraId="795312CA">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八、违约责任：</w:t>
      </w:r>
    </w:p>
    <w:p w14:paraId="59B5A1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若乙方存在提供虚假数据、拒不履行售电服务等严重违约行为，甲方有权终止合同，并将其违约情况如实上报行业主管部门。同时，甲方保留就乙方违约行为造成的全部损失，通过法律途径追究其相应法律责任的权利。</w:t>
      </w:r>
    </w:p>
    <w:p w14:paraId="6F13FD2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2、因乙方原因造成甲方经济损失的，乙方应向甲方赔偿因其造成的直接经济损失。另外，乙方若违反法律法规，乙方应承担相应法律责任。</w:t>
      </w:r>
    </w:p>
    <w:p w14:paraId="41A15F1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3、乙方拒绝与甲方签订合同的，甲方可以按照评标报告推荐的中标候选人名单排序，确定下一候选人为中标服务商，也可以重新开展政府采购活动。</w:t>
      </w:r>
    </w:p>
    <w:p w14:paraId="7DB0EE0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4、乙方未履行或未按时履行或未按质履行合同约定的情形时，甲方有权向乙方发出书面警告,要求乙方限期整改。乙方未按要求限期完成整改，甲方有权单方解除合同。</w:t>
      </w:r>
    </w:p>
    <w:p w14:paraId="6895C9C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5、当乙方违反合同的约定符合解除合同的条件时，甲方有权向乙方发出书面解除合同的通知，该通知在送达乙方时解除合同即生效。</w:t>
      </w:r>
    </w:p>
    <w:p w14:paraId="17E19E3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服务期限内，（1）若因乙方原因导致甲方无法正常购电的，乙方应向甲方支付因乙方违约而造成的经济损失且履约保证金不予退还。（2）甲方因上级部门政策变化或者需求变化等原因，合同不能继续执行需终止合同的，甲方按照实际使用的电量和合同约定的费用结算费用，且乙方不得因此向甲方追偿其他任何损失或赔偿。</w:t>
      </w:r>
    </w:p>
    <w:p w14:paraId="644A051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7、 除上述约定外，出现以下情形，乙方应承担违约责任：</w:t>
      </w:r>
    </w:p>
    <w:p w14:paraId="3C89AB3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（1）因乙方原因（如未及时申报、材料提交不全等）导致甲方在电力交易平台注册失败或无法参与月度交易，每发生一次，乙方应向甲方支付十万元的违约金，乙方承担因此导致的全部损失。</w:t>
      </w:r>
    </w:p>
    <w:p w14:paraId="6CC115B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（2）乙方未在每月10日前向甲方书面提供市场联动价格的，每逾期一日，应向甲方支付一千元的违约金。</w:t>
      </w:r>
    </w:p>
    <w:p w14:paraId="4785110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（3）乙方违反应急保障响应时效及协助义务的，每发生一次，应向甲方支付一万元的违约金。</w:t>
      </w:r>
    </w:p>
    <w:p w14:paraId="6CA9906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（4）如因乙方责任导致医院停电≥1小时，乙方应向甲方支付十万元，乙方承担因此导致的全部损失。</w:t>
      </w:r>
    </w:p>
    <w:p w14:paraId="090C9FA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（5）因乙方原因导致甲方未能从电网公司获取合规的相应金额的专用发票的，每发生一次，支付违约金十万元，乙方承担因此导致的全部损失。</w:t>
      </w:r>
    </w:p>
    <w:p w14:paraId="6B259A3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（6）其他因乙方原因导致甲方损失的情况，乙方承担因此导致的全部损失。</w:t>
      </w:r>
    </w:p>
    <w:p w14:paraId="6F52D782">
      <w:pPr>
        <w:pStyle w:val="2"/>
        <w:widowControl/>
        <w:ind w:left="0" w:leftChars="0" w:firstLine="0" w:firstLineChars="0"/>
      </w:pPr>
      <w:r>
        <w:t>九、不可抗力</w:t>
      </w:r>
    </w:p>
    <w:p w14:paraId="2255B9E1">
      <w:pPr>
        <w:pStyle w:val="7"/>
        <w:widowControl/>
        <w:ind w:left="0" w:leftChars="0" w:firstLine="480" w:firstLineChars="200"/>
      </w:pPr>
      <w:r>
        <w:rPr>
          <w:color w:val="000000"/>
        </w:rPr>
        <w:t>在服务期限内发生战争、严重火灾、洪水、台风、地震等或其它双方认定的不可抗力事件，导致服务范围的物业不能正常经营，服务不能或不能全部履行。双方可以按以下各项执行：</w:t>
      </w:r>
    </w:p>
    <w:p w14:paraId="42F6C2B3">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1、</w:t>
      </w:r>
      <w:r>
        <w:rPr>
          <w:color w:val="000000"/>
        </w:rPr>
        <w:t>任何一方可以书面形式终止本合同无需做出任何赔偿。</w:t>
      </w:r>
    </w:p>
    <w:p w14:paraId="549B1931">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2、</w:t>
      </w:r>
      <w:r>
        <w:rPr>
          <w:color w:val="000000"/>
        </w:rPr>
        <w:t>因不可抗力导致服务终止，并不影响任何一方对不可抗力先前发生的违约行为合法追偿。</w:t>
      </w:r>
    </w:p>
    <w:p w14:paraId="3F6A4369">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3、</w:t>
      </w:r>
      <w:r>
        <w:rPr>
          <w:color w:val="000000"/>
        </w:rPr>
        <w:t>甲方不负责因不可抗力造成服务不能正常履行的责任。</w:t>
      </w:r>
    </w:p>
    <w:p w14:paraId="49484EA4">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4、</w:t>
      </w:r>
      <w:r>
        <w:rPr>
          <w:color w:val="000000"/>
        </w:rPr>
        <w:t>因不可抗力造成甲方的损害，对恢复服务期间的价格及其它费用双方可以协商解决。</w:t>
      </w:r>
    </w:p>
    <w:p w14:paraId="7E413247">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5、</w:t>
      </w:r>
      <w:r>
        <w:rPr>
          <w:color w:val="000000"/>
        </w:rPr>
        <w:t>即便双方出现诉讼纠纷，除甲方书面要求乙方撤场外，乙方仍应依照服务约定为甲方提供保洁绿化服务。</w:t>
      </w:r>
    </w:p>
    <w:p w14:paraId="16DA9CDF">
      <w:pPr>
        <w:pStyle w:val="2"/>
        <w:widowControl/>
        <w:ind w:left="0" w:leftChars="0" w:firstLine="0" w:firstLineChars="0"/>
      </w:pPr>
      <w:r>
        <w:t>十、其他</w:t>
      </w:r>
    </w:p>
    <w:p w14:paraId="2A193154">
      <w:pPr>
        <w:pStyle w:val="7"/>
        <w:widowControl/>
        <w:numPr>
          <w:ilvl w:val="0"/>
          <w:numId w:val="0"/>
        </w:numPr>
        <w:tabs>
          <w:tab w:val="left" w:pos="1324"/>
        </w:tabs>
        <w:ind w:firstLine="480" w:firstLineChars="200"/>
        <w:rPr>
          <w:rFonts w:hint="eastAsia" w:ascii="Times New Roman" w:hAnsi="Times New Roman" w:eastAsia="宋体" w:cs="Times New Roman"/>
          <w:color w:val="000000"/>
        </w:rPr>
      </w:pPr>
      <w:r>
        <w:rPr>
          <w:rFonts w:hint="eastAsia"/>
          <w:b w:val="0"/>
          <w:bCs/>
          <w:color w:val="000000"/>
          <w:lang w:val="en-US" w:eastAsia="zh-CN"/>
        </w:rPr>
        <w:t>1、</w:t>
      </w:r>
      <w:r>
        <w:rPr>
          <w:rFonts w:ascii="Times New Roman" w:hAnsi="Times New Roman" w:eastAsia="宋体" w:cs="Times New Roman"/>
          <w:color w:val="000000"/>
        </w:rPr>
        <w:t>有关本服务条款的修改、补充和变更，均应以书面形式进行，经双方签字、盖章生效，但所有补充服务合同的采购金额不得超过采购金额的百分之十，超过的部分无效。</w:t>
      </w:r>
    </w:p>
    <w:p w14:paraId="3DA2A418">
      <w:pPr>
        <w:pStyle w:val="7"/>
        <w:widowControl/>
        <w:numPr>
          <w:ilvl w:val="0"/>
          <w:numId w:val="0"/>
        </w:numPr>
        <w:tabs>
          <w:tab w:val="left" w:pos="1324"/>
        </w:tabs>
        <w:ind w:firstLine="480" w:firstLineChars="200"/>
        <w:rPr>
          <w:b/>
          <w:color w:val="000000"/>
        </w:rPr>
      </w:pPr>
      <w:r>
        <w:rPr>
          <w:rFonts w:hint="eastAsia"/>
          <w:color w:val="000000"/>
          <w:lang w:val="en-US" w:eastAsia="zh-CN"/>
        </w:rPr>
        <w:t>2、</w:t>
      </w:r>
      <w:r>
        <w:rPr>
          <w:color w:val="000000"/>
        </w:rPr>
        <w:t>本合同未尽事宜，以</w:t>
      </w:r>
      <w:r>
        <w:rPr>
          <w:rFonts w:hint="eastAsia"/>
          <w:color w:val="000000"/>
          <w:lang w:val="en-US" w:eastAsia="zh-CN"/>
        </w:rPr>
        <w:t>采购</w:t>
      </w:r>
      <w:r>
        <w:rPr>
          <w:color w:val="000000"/>
        </w:rPr>
        <w:t>要求及乙方</w:t>
      </w:r>
      <w:r>
        <w:rPr>
          <w:rFonts w:hint="eastAsia"/>
          <w:color w:val="000000"/>
          <w:lang w:val="en-US" w:eastAsia="zh-CN"/>
        </w:rPr>
        <w:t>响应</w:t>
      </w:r>
      <w:r>
        <w:rPr>
          <w:color w:val="000000"/>
        </w:rPr>
        <w:t>文件为准，</w:t>
      </w:r>
      <w:r>
        <w:rPr>
          <w:rFonts w:hint="eastAsia"/>
          <w:color w:val="000000"/>
          <w:lang w:val="en-US" w:eastAsia="zh-CN"/>
        </w:rPr>
        <w:t>采购</w:t>
      </w:r>
      <w:r>
        <w:rPr>
          <w:color w:val="000000"/>
        </w:rPr>
        <w:t>文件及</w:t>
      </w:r>
      <w:r>
        <w:rPr>
          <w:rFonts w:hint="eastAsia"/>
          <w:color w:val="000000"/>
          <w:lang w:val="en-US" w:eastAsia="zh-CN"/>
        </w:rPr>
        <w:t>响应</w:t>
      </w:r>
      <w:r>
        <w:rPr>
          <w:color w:val="000000"/>
        </w:rPr>
        <w:t>文件、本合同未明确的，以双方另行协商一致并签订补充协议为准。</w:t>
      </w:r>
    </w:p>
    <w:p w14:paraId="5F723FA6">
      <w:pPr>
        <w:pStyle w:val="7"/>
        <w:widowControl/>
        <w:numPr>
          <w:ilvl w:val="0"/>
          <w:numId w:val="0"/>
        </w:numPr>
        <w:tabs>
          <w:tab w:val="left" w:pos="1324"/>
        </w:tabs>
        <w:ind w:firstLine="480" w:firstLineChars="200"/>
        <w:rPr>
          <w:rFonts w:ascii="Times New Roman" w:hAnsi="Times New Roman" w:eastAsia="宋体" w:cs="Times New Roman"/>
          <w:color w:val="000000"/>
        </w:rPr>
      </w:pPr>
      <w:r>
        <w:rPr>
          <w:rFonts w:hint="eastAsia"/>
          <w:color w:val="000000"/>
          <w:lang w:val="en-US" w:eastAsia="zh-CN"/>
        </w:rPr>
        <w:t>3、</w:t>
      </w:r>
      <w:r>
        <w:rPr>
          <w:rFonts w:ascii="Times New Roman" w:hAnsi="Times New Roman" w:eastAsia="宋体" w:cs="Times New Roman"/>
          <w:color w:val="000000"/>
        </w:rPr>
        <w:t>本合同的附件、</w:t>
      </w:r>
      <w:r>
        <w:rPr>
          <w:rFonts w:hint="eastAsia" w:cs="Times New Roman"/>
          <w:color w:val="000000"/>
          <w:lang w:val="en-US" w:eastAsia="zh-CN"/>
        </w:rPr>
        <w:t>采购需求书</w:t>
      </w:r>
      <w:r>
        <w:rPr>
          <w:rFonts w:ascii="Times New Roman" w:hAnsi="Times New Roman" w:eastAsia="宋体" w:cs="Times New Roman"/>
          <w:color w:val="000000"/>
        </w:rPr>
        <w:t>、</w:t>
      </w:r>
      <w:r>
        <w:rPr>
          <w:rFonts w:hint="eastAsia" w:cs="Times New Roman"/>
          <w:color w:val="000000"/>
          <w:lang w:val="en-US" w:eastAsia="zh-CN"/>
        </w:rPr>
        <w:t>响应</w:t>
      </w:r>
      <w:r>
        <w:rPr>
          <w:rFonts w:ascii="Times New Roman" w:hAnsi="Times New Roman" w:eastAsia="宋体" w:cs="Times New Roman"/>
          <w:color w:val="000000"/>
        </w:rPr>
        <w:t>文件均为合同的有效组成部分，双方需对合同条款进行修改或补充的，应签订书面补充协议，补充协议与本合同具有同等效力。</w:t>
      </w:r>
    </w:p>
    <w:p w14:paraId="3C974435">
      <w:pPr>
        <w:pStyle w:val="7"/>
        <w:widowControl/>
        <w:numPr>
          <w:ilvl w:val="0"/>
          <w:numId w:val="0"/>
        </w:numPr>
        <w:tabs>
          <w:tab w:val="left" w:pos="1324"/>
        </w:tabs>
        <w:ind w:leftChars="200"/>
        <w:rPr>
          <w:color w:val="auto"/>
        </w:rPr>
      </w:pPr>
      <w:r>
        <w:rPr>
          <w:rFonts w:hint="eastAsia"/>
          <w:color w:val="auto"/>
          <w:lang w:val="en-US" w:eastAsia="zh-CN"/>
        </w:rPr>
        <w:t>4、</w:t>
      </w:r>
      <w:r>
        <w:rPr>
          <w:color w:val="auto"/>
        </w:rPr>
        <w:t>在执行合同过程中，所有双方授权人员签署确认的文件（包括会议纪要、</w:t>
      </w:r>
    </w:p>
    <w:p w14:paraId="319D6135">
      <w:pPr>
        <w:pStyle w:val="7"/>
        <w:widowControl/>
        <w:numPr>
          <w:ilvl w:val="0"/>
          <w:numId w:val="0"/>
        </w:numPr>
        <w:tabs>
          <w:tab w:val="left" w:pos="1324"/>
        </w:tabs>
        <w:rPr>
          <w:rFonts w:hint="eastAsia" w:ascii="宋体" w:hAnsi="宋体" w:eastAsia="宋体" w:cs="宋体"/>
          <w:b/>
          <w:color w:val="auto"/>
        </w:rPr>
      </w:pPr>
      <w:r>
        <w:rPr>
          <w:rFonts w:hint="eastAsia"/>
          <w:color w:val="auto"/>
          <w:lang w:val="en-US" w:eastAsia="zh-CN"/>
        </w:rPr>
        <w:t>且经双方确认的</w:t>
      </w:r>
      <w:r>
        <w:rPr>
          <w:color w:val="auto"/>
        </w:rPr>
        <w:t>往来信函、电子邮件、传真</w:t>
      </w:r>
      <w:r>
        <w:rPr>
          <w:rFonts w:hint="eastAsia"/>
          <w:color w:val="auto"/>
          <w:lang w:val="en-US" w:eastAsia="zh-CN"/>
        </w:rPr>
        <w:t>等书面文件</w:t>
      </w:r>
      <w:r>
        <w:rPr>
          <w:color w:val="auto"/>
        </w:rPr>
        <w:t>）自形成之日即成为本合同的有效组成部分，自形成之日生效，与本合同具有同</w:t>
      </w:r>
      <w:r>
        <w:rPr>
          <w:rFonts w:hint="eastAsia"/>
          <w:color w:val="auto"/>
          <w:lang w:val="en-US" w:eastAsia="zh-CN"/>
        </w:rPr>
        <w:t>等法律</w:t>
      </w:r>
      <w:r>
        <w:rPr>
          <w:color w:val="auto"/>
        </w:rPr>
        <w:t>效力。</w:t>
      </w:r>
    </w:p>
    <w:p w14:paraId="328070BE">
      <w:pPr>
        <w:pStyle w:val="7"/>
        <w:widowControl/>
        <w:numPr>
          <w:ilvl w:val="0"/>
          <w:numId w:val="0"/>
        </w:numPr>
        <w:tabs>
          <w:tab w:val="left" w:pos="1324"/>
        </w:tabs>
        <w:ind w:left="0" w:leftChars="0" w:firstLine="482" w:firstLineChars="200"/>
        <w:rPr>
          <w:rFonts w:hint="eastAsia" w:ascii="宋体" w:hAnsi="宋体" w:eastAsia="宋体" w:cs="宋体"/>
          <w:b/>
          <w:color w:val="000000"/>
        </w:rPr>
      </w:pPr>
      <w:r>
        <w:rPr>
          <w:rFonts w:hint="eastAsia" w:ascii="宋体" w:hAnsi="宋体" w:cs="宋体"/>
          <w:b/>
          <w:color w:val="000000"/>
          <w:sz w:val="24"/>
          <w:lang w:val="en-US" w:eastAsia="zh-CN"/>
        </w:rPr>
        <w:t>5</w:t>
      </w:r>
      <w:r>
        <w:rPr>
          <w:rFonts w:hint="default" w:ascii="宋体" w:hAnsi="宋体" w:eastAsia="宋体" w:cs="宋体"/>
          <w:b/>
          <w:color w:val="000000"/>
          <w:sz w:val="24"/>
        </w:rPr>
        <w:t>、</w:t>
      </w:r>
      <w:r>
        <w:rPr>
          <w:color w:val="000000"/>
        </w:rPr>
        <w:t>因本合同产生纠纷，双方应协商解决。协商不成时，任何一方均有权向甲方所在地人民法院提起诉讼，败诉方应支付对方维权产生的诉讼费、律师费、差旅费等全部开支。</w:t>
      </w:r>
    </w:p>
    <w:p w14:paraId="49B59DDE">
      <w:pPr>
        <w:pStyle w:val="7"/>
        <w:widowControl/>
        <w:numPr>
          <w:ilvl w:val="0"/>
          <w:numId w:val="0"/>
        </w:numPr>
        <w:tabs>
          <w:tab w:val="left" w:pos="1324"/>
        </w:tabs>
        <w:ind w:left="0" w:leftChars="0" w:firstLine="480" w:firstLineChars="200"/>
        <w:rPr>
          <w:color w:val="000000"/>
        </w:rPr>
      </w:pPr>
      <w:r>
        <w:rPr>
          <w:rFonts w:hint="eastAsia"/>
          <w:color w:val="000000"/>
          <w:lang w:val="en-US" w:eastAsia="zh-CN"/>
        </w:rPr>
        <w:t>6、</w:t>
      </w:r>
      <w:r>
        <w:rPr>
          <w:color w:val="000000"/>
        </w:rPr>
        <w:t>本合同自甲乙双方签章之日起生效。本合同壹式贰份，甲乙双方各执壹</w:t>
      </w:r>
    </w:p>
    <w:p w14:paraId="0105A152">
      <w:pPr>
        <w:pStyle w:val="7"/>
        <w:widowControl/>
        <w:numPr>
          <w:ilvl w:val="0"/>
          <w:numId w:val="0"/>
        </w:numPr>
        <w:tabs>
          <w:tab w:val="left" w:pos="1324"/>
        </w:tabs>
        <w:rPr>
          <w:rFonts w:hint="eastAsia" w:ascii="宋体" w:hAnsi="宋体" w:eastAsia="宋体" w:cs="宋体"/>
          <w:b/>
          <w:color w:val="000000"/>
        </w:rPr>
      </w:pPr>
      <w:r>
        <w:rPr>
          <w:color w:val="000000"/>
        </w:rPr>
        <w:t>份。</w:t>
      </w:r>
    </w:p>
    <w:p w14:paraId="7BFBF730">
      <w:pPr>
        <w:pStyle w:val="7"/>
        <w:widowControl/>
        <w:ind w:left="0" w:leftChars="0" w:firstLine="480" w:firstLineChars="200"/>
        <w:rPr>
          <w:color w:val="000000"/>
        </w:rPr>
      </w:pPr>
      <w:r>
        <w:rPr>
          <w:color w:val="000000"/>
        </w:rPr>
        <w:t>（以下无正文，为签署页）</w:t>
      </w:r>
    </w:p>
    <w:p w14:paraId="2BD13B60">
      <w:pPr>
        <w:pStyle w:val="19"/>
        <w:spacing w:after="120" w:afterAutospacing="0" w:line="300" w:lineRule="auto"/>
        <w:ind w:firstLine="480"/>
        <w:jc w:val="both"/>
        <w:rPr>
          <w:rFonts w:ascii="Times New Roman" w:hAnsi="Times New Roman" w:eastAsia="宋体" w:cs="Times New Roman"/>
          <w:color w:val="000000"/>
          <w:sz w:val="24"/>
        </w:rPr>
      </w:pPr>
    </w:p>
    <w:p w14:paraId="6C205F3C">
      <w:pPr>
        <w:pStyle w:val="19"/>
        <w:spacing w:after="120" w:afterAutospacing="0" w:line="300" w:lineRule="auto"/>
        <w:ind w:firstLine="480"/>
        <w:jc w:val="both"/>
        <w:rPr>
          <w:rFonts w:ascii="Times New Roman" w:hAnsi="Times New Roman" w:eastAsia="宋体" w:cs="Times New Roman"/>
          <w:color w:val="000000"/>
          <w:sz w:val="24"/>
        </w:rPr>
      </w:pPr>
    </w:p>
    <w:p w14:paraId="5EA823CF">
      <w:pPr>
        <w:pStyle w:val="19"/>
        <w:spacing w:after="120" w:afterAutospacing="0" w:line="300" w:lineRule="auto"/>
        <w:ind w:firstLine="480"/>
        <w:jc w:val="both"/>
        <w:rPr>
          <w:rFonts w:ascii="Times New Roman" w:hAnsi="Times New Roman" w:eastAsia="宋体" w:cs="Times New Roman"/>
          <w:color w:val="000000"/>
          <w:sz w:val="24"/>
        </w:rPr>
      </w:pPr>
    </w:p>
    <w:p w14:paraId="59165B70">
      <w:pPr>
        <w:pStyle w:val="19"/>
        <w:spacing w:after="120" w:afterAutospacing="0" w:line="300" w:lineRule="auto"/>
        <w:ind w:firstLine="480"/>
        <w:jc w:val="both"/>
        <w:rPr>
          <w:rFonts w:ascii="Times New Roman" w:hAnsi="Times New Roman" w:eastAsia="宋体" w:cs="Times New Roman"/>
          <w:color w:val="000000"/>
          <w:sz w:val="24"/>
        </w:rPr>
      </w:pPr>
    </w:p>
    <w:p w14:paraId="0065EC26">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甲方（盖章）：  </w:t>
      </w:r>
      <w:r>
        <w:rPr>
          <w:rFonts w:ascii="Times New Roman" w:hAnsi="Times New Roman" w:eastAsia="宋体" w:cs="Times New Roman"/>
          <w:sz w:val="24"/>
        </w:rPr>
        <w:t xml:space="preserve">                </w:t>
      </w:r>
      <w:r>
        <w:rPr>
          <w:rFonts w:ascii="Times New Roman" w:hAnsi="Times New Roman" w:eastAsia="宋体" w:cs="Times New Roman"/>
          <w:color w:val="000000"/>
          <w:sz w:val="24"/>
        </w:rPr>
        <w:t>乙方（盖章）：</w:t>
      </w:r>
      <w:r>
        <w:rPr>
          <w:rFonts w:ascii="Times New Roman" w:hAnsi="Times New Roman" w:eastAsia="宋体" w:cs="Times New Roman"/>
          <w:sz w:val="24"/>
        </w:rPr>
        <w:t xml:space="preserve"> </w:t>
      </w:r>
    </w:p>
    <w:p w14:paraId="32641CBB">
      <w:pPr>
        <w:pStyle w:val="19"/>
        <w:spacing w:after="120" w:afterAutospacing="0" w:line="300" w:lineRule="auto"/>
        <w:ind w:left="480"/>
        <w:jc w:val="both"/>
        <w:rPr>
          <w:rFonts w:ascii="Times New Roman" w:hAnsi="Times New Roman" w:eastAsia="宋体" w:cs="Times New Roman"/>
          <w:sz w:val="24"/>
        </w:rPr>
      </w:pPr>
      <w:r>
        <w:rPr>
          <w:rFonts w:ascii="Times New Roman" w:hAnsi="Times New Roman" w:eastAsia="宋体" w:cs="Times New Roman"/>
          <w:color w:val="000000"/>
          <w:sz w:val="24"/>
        </w:rPr>
        <w:t>签约代表：                       签约代表：</w:t>
      </w:r>
      <w:r>
        <w:rPr>
          <w:rFonts w:ascii="Times New Roman" w:hAnsi="Times New Roman" w:eastAsia="宋体" w:cs="Times New Roman"/>
          <w:sz w:val="24"/>
        </w:rPr>
        <w:br w:type="textWrapping"/>
      </w:r>
      <w:r>
        <w:rPr>
          <w:rFonts w:ascii="Times New Roman" w:hAnsi="Times New Roman" w:eastAsia="宋体" w:cs="Times New Roman"/>
          <w:color w:val="000000"/>
          <w:sz w:val="24"/>
        </w:rPr>
        <w:t xml:space="preserve">电    话：           </w:t>
      </w:r>
      <w:r>
        <w:rPr>
          <w:rFonts w:ascii="Times New Roman" w:hAnsi="Times New Roman" w:eastAsia="宋体" w:cs="Times New Roman"/>
          <w:sz w:val="24"/>
        </w:rPr>
        <w:t xml:space="preserve">            </w:t>
      </w:r>
      <w:r>
        <w:rPr>
          <w:rFonts w:ascii="Times New Roman" w:hAnsi="Times New Roman" w:eastAsia="宋体" w:cs="Times New Roman"/>
          <w:color w:val="000000"/>
          <w:sz w:val="24"/>
        </w:rPr>
        <w:t>电    话：</w:t>
      </w:r>
    </w:p>
    <w:p w14:paraId="066E3421">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传    真：          </w:t>
      </w:r>
      <w:r>
        <w:rPr>
          <w:rFonts w:ascii="Times New Roman" w:hAnsi="Times New Roman" w:eastAsia="宋体" w:cs="Times New Roman"/>
          <w:sz w:val="24"/>
        </w:rPr>
        <w:t xml:space="preserve">             </w:t>
      </w:r>
      <w:r>
        <w:rPr>
          <w:rFonts w:ascii="Times New Roman" w:hAnsi="Times New Roman" w:eastAsia="宋体" w:cs="Times New Roman"/>
          <w:color w:val="000000"/>
          <w:sz w:val="24"/>
        </w:rPr>
        <w:t>传    真：</w:t>
      </w:r>
    </w:p>
    <w:p w14:paraId="5E61B582">
      <w:pPr>
        <w:pStyle w:val="19"/>
        <w:spacing w:after="120" w:afterAutospacing="0" w:line="300" w:lineRule="auto"/>
        <w:ind w:firstLine="480"/>
        <w:jc w:val="both"/>
        <w:rPr>
          <w:rFonts w:hint="eastAsia" w:ascii="仿宋_GB2312" w:hAnsi="仿宋_GB2312" w:eastAsia="仿宋_GB2312" w:cs="仿宋_GB2312"/>
          <w:b/>
          <w:bCs/>
          <w:sz w:val="28"/>
          <w:szCs w:val="28"/>
          <w:lang w:val="en-US" w:eastAsia="zh-CN"/>
        </w:rPr>
      </w:pPr>
      <w:r>
        <w:rPr>
          <w:rFonts w:ascii="Times New Roman" w:hAnsi="Times New Roman" w:eastAsia="宋体" w:cs="Times New Roman"/>
          <w:color w:val="000000"/>
          <w:sz w:val="24"/>
        </w:rPr>
        <w:t>日期：     年    月    日        日期：     年    月    日</w:t>
      </w:r>
    </w:p>
    <w:p w14:paraId="2D33E0C9">
      <w:pPr>
        <w:rPr>
          <w:rFonts w:hint="eastAsia" w:ascii="仿宋_GB2312" w:hAnsi="仿宋_GB2312" w:eastAsia="仿宋_GB2312" w:cs="仿宋_GB2312"/>
          <w:b/>
          <w:bCs/>
          <w:sz w:val="28"/>
          <w:szCs w:val="28"/>
          <w:lang w:val="en-US" w:eastAsia="zh-CN"/>
        </w:rPr>
      </w:pPr>
    </w:p>
    <w:p w14:paraId="43032916">
      <w:pPr>
        <w:rPr>
          <w:rFonts w:hint="eastAsia" w:ascii="仿宋_GB2312" w:hAnsi="仿宋_GB2312" w:eastAsia="仿宋_GB2312" w:cs="仿宋_GB2312"/>
          <w:b/>
          <w:bCs/>
          <w:sz w:val="28"/>
          <w:szCs w:val="28"/>
          <w:lang w:val="en-US" w:eastAsia="zh-CN"/>
        </w:rPr>
      </w:pPr>
    </w:p>
    <w:p w14:paraId="3738BA50">
      <w:pPr>
        <w:rPr>
          <w:rFonts w:hint="eastAsia" w:ascii="仿宋_GB2312" w:hAnsi="仿宋_GB2312" w:eastAsia="仿宋_GB2312" w:cs="仿宋_GB2312"/>
          <w:b/>
          <w:bCs/>
          <w:sz w:val="28"/>
          <w:szCs w:val="28"/>
          <w:lang w:val="en-US" w:eastAsia="zh-CN"/>
        </w:rPr>
      </w:pPr>
    </w:p>
    <w:p w14:paraId="5BD5675F">
      <w:pPr>
        <w:rPr>
          <w:rFonts w:hint="eastAsia" w:ascii="仿宋_GB2312" w:hAnsi="仿宋_GB2312" w:eastAsia="仿宋_GB2312" w:cs="仿宋_GB2312"/>
          <w:b/>
          <w:bCs/>
          <w:sz w:val="28"/>
          <w:szCs w:val="28"/>
          <w:lang w:val="en-US" w:eastAsia="zh-CN"/>
        </w:rPr>
      </w:pPr>
    </w:p>
    <w:p w14:paraId="67F66BB2">
      <w:pPr>
        <w:rPr>
          <w:rFonts w:hint="eastAsia" w:ascii="仿宋_GB2312" w:hAnsi="仿宋_GB2312" w:eastAsia="仿宋_GB2312" w:cs="仿宋_GB2312"/>
          <w:b/>
          <w:bCs/>
          <w:sz w:val="28"/>
          <w:szCs w:val="28"/>
          <w:lang w:val="en-US" w:eastAsia="zh-CN"/>
        </w:rPr>
      </w:pPr>
    </w:p>
    <w:p w14:paraId="679CF878">
      <w:pPr>
        <w:rPr>
          <w:rFonts w:hint="eastAsia" w:ascii="仿宋_GB2312" w:hAnsi="仿宋_GB2312" w:eastAsia="仿宋_GB2312" w:cs="仿宋_GB2312"/>
          <w:b/>
          <w:bCs/>
          <w:sz w:val="28"/>
          <w:szCs w:val="28"/>
          <w:lang w:val="en-US" w:eastAsia="zh-CN"/>
        </w:rPr>
      </w:pPr>
    </w:p>
    <w:p w14:paraId="6495185A">
      <w:pPr>
        <w:rPr>
          <w:rFonts w:hint="eastAsia" w:ascii="仿宋_GB2312" w:hAnsi="仿宋_GB2312" w:eastAsia="仿宋_GB2312" w:cs="仿宋_GB2312"/>
          <w:b/>
          <w:bCs/>
          <w:sz w:val="28"/>
          <w:szCs w:val="28"/>
          <w:lang w:val="en-US" w:eastAsia="zh-CN"/>
        </w:rPr>
      </w:pPr>
    </w:p>
    <w:p w14:paraId="4DF82313">
      <w:pPr>
        <w:rPr>
          <w:rFonts w:hint="eastAsia" w:ascii="仿宋_GB2312" w:hAnsi="仿宋_GB2312" w:eastAsia="仿宋_GB2312" w:cs="仿宋_GB2312"/>
          <w:b/>
          <w:bCs/>
          <w:sz w:val="28"/>
          <w:szCs w:val="28"/>
          <w:lang w:val="en-US" w:eastAsia="zh-CN"/>
        </w:rPr>
      </w:pPr>
    </w:p>
    <w:p w14:paraId="5B31FEBF">
      <w:pPr>
        <w:rPr>
          <w:rFonts w:hint="eastAsia" w:ascii="仿宋_GB2312" w:hAnsi="仿宋_GB2312" w:eastAsia="仿宋_GB2312" w:cs="仿宋_GB2312"/>
          <w:b/>
          <w:bCs/>
          <w:sz w:val="28"/>
          <w:szCs w:val="28"/>
          <w:lang w:val="en-US" w:eastAsia="zh-CN"/>
        </w:rPr>
      </w:pPr>
    </w:p>
    <w:p w14:paraId="5D00E1BD">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 xml:space="preserve">                            </w:t>
      </w:r>
    </w:p>
    <w:p w14:paraId="6B2B8448">
      <w:pPr>
        <w:numPr>
          <w:ilvl w:val="0"/>
          <w:numId w:val="6"/>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响应文件的格式：响应服务商根据下面格式提供响应文件一式三份，其中正本一份，副本六份，电子文件一份，密封包装。所有响应文件根据采购公告中规定的时间内提交至指定地点。</w:t>
      </w:r>
    </w:p>
    <w:p w14:paraId="2677B5D7">
      <w:pPr>
        <w:numPr>
          <w:ilvl w:val="0"/>
          <w:numId w:val="0"/>
        </w:numPr>
        <w:rPr>
          <w:rFonts w:hint="default" w:ascii="仿宋_GB2312" w:hAnsi="仿宋_GB2312" w:eastAsia="仿宋_GB2312" w:cs="仿宋_GB2312"/>
          <w:sz w:val="28"/>
          <w:szCs w:val="28"/>
          <w:lang w:val="en-US" w:eastAsia="zh-CN"/>
        </w:rPr>
      </w:pPr>
    </w:p>
    <w:p w14:paraId="79C95C16">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lang w:eastAsia="zh-CN"/>
        </w:rPr>
        <w:t>（一）</w:t>
      </w:r>
      <w:r>
        <w:rPr>
          <w:rFonts w:hint="eastAsia" w:ascii="宋体" w:hAnsi="宋体" w:cs="宋体"/>
          <w:b/>
          <w:color w:val="000000"/>
          <w:sz w:val="36"/>
          <w:szCs w:val="36"/>
          <w:highlight w:val="none"/>
        </w:rPr>
        <w:t>响应文件</w:t>
      </w:r>
    </w:p>
    <w:p w14:paraId="51AD15D3">
      <w:pPr>
        <w:spacing w:after="120" w:line="360" w:lineRule="auto"/>
        <w:jc w:val="center"/>
        <w:rPr>
          <w:rFonts w:hint="eastAsia" w:ascii="宋体" w:hAnsi="宋体" w:cs="宋体"/>
          <w:b/>
          <w:bCs/>
          <w:color w:val="000000"/>
          <w:sz w:val="32"/>
          <w:szCs w:val="32"/>
          <w:highlight w:val="none"/>
        </w:rPr>
      </w:pPr>
    </w:p>
    <w:p w14:paraId="258E08FD">
      <w:pPr>
        <w:spacing w:after="120" w:line="360" w:lineRule="auto"/>
        <w:jc w:val="center"/>
        <w:rPr>
          <w:rFonts w:hint="eastAsia" w:ascii="宋体" w:hAnsi="宋体" w:cs="宋体"/>
          <w:b/>
          <w:bCs/>
          <w:color w:val="000000"/>
          <w:sz w:val="32"/>
          <w:szCs w:val="32"/>
          <w:highlight w:val="none"/>
        </w:rPr>
      </w:pPr>
    </w:p>
    <w:p w14:paraId="7CF2176E">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河源市人民医院电力市场交易代购服务采购项目</w:t>
      </w:r>
    </w:p>
    <w:p w14:paraId="24B4B19A">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响应文件</w:t>
      </w:r>
    </w:p>
    <w:p w14:paraId="2E2E2426">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（封面格式自定）</w:t>
      </w:r>
    </w:p>
    <w:p w14:paraId="1610CE2F">
      <w:pPr>
        <w:spacing w:after="120" w:line="360" w:lineRule="auto"/>
        <w:jc w:val="center"/>
        <w:rPr>
          <w:rFonts w:hint="eastAsia" w:ascii="宋体" w:hAnsi="宋体" w:cs="宋体"/>
          <w:b/>
          <w:bCs/>
          <w:color w:val="000000"/>
          <w:sz w:val="32"/>
          <w:szCs w:val="32"/>
          <w:highlight w:val="none"/>
        </w:rPr>
      </w:pPr>
    </w:p>
    <w:p w14:paraId="38B03338">
      <w:pPr>
        <w:spacing w:line="360" w:lineRule="auto"/>
        <w:jc w:val="center"/>
        <w:outlineLvl w:val="1"/>
        <w:rPr>
          <w:rFonts w:hint="eastAsia" w:ascii="宋体" w:hAnsi="宋体" w:cs="宋体"/>
          <w:b/>
          <w:bCs/>
          <w:snapToGrid w:val="0"/>
          <w:color w:val="000000"/>
          <w:kern w:val="0"/>
          <w:sz w:val="32"/>
          <w:szCs w:val="32"/>
          <w:highlight w:val="none"/>
          <w:lang w:eastAsia="zh-CN"/>
        </w:rPr>
      </w:pPr>
      <w:bookmarkStart w:id="0" w:name="_Toc6769"/>
      <w:bookmarkStart w:id="1" w:name="_Toc22614"/>
      <w:bookmarkStart w:id="2" w:name="_Toc753"/>
    </w:p>
    <w:p w14:paraId="1CF79D11">
      <w:pPr>
        <w:spacing w:line="360" w:lineRule="auto"/>
        <w:jc w:val="center"/>
        <w:outlineLvl w:val="1"/>
        <w:rPr>
          <w:rFonts w:hint="eastAsia" w:ascii="宋体" w:hAnsi="宋体" w:cs="宋体"/>
          <w:b/>
          <w:bCs/>
          <w:snapToGrid w:val="0"/>
          <w:color w:val="000000"/>
          <w:kern w:val="0"/>
          <w:sz w:val="32"/>
          <w:szCs w:val="32"/>
          <w:highlight w:val="none"/>
          <w:lang w:eastAsia="zh-CN"/>
        </w:rPr>
      </w:pPr>
    </w:p>
    <w:p w14:paraId="438FA97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EC1484">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0956C88">
      <w:pPr>
        <w:spacing w:line="360" w:lineRule="auto"/>
        <w:jc w:val="center"/>
        <w:outlineLvl w:val="1"/>
        <w:rPr>
          <w:rFonts w:hint="eastAsia" w:ascii="宋体" w:hAnsi="宋体" w:cs="宋体"/>
          <w:b/>
          <w:bCs/>
          <w:snapToGrid w:val="0"/>
          <w:color w:val="000000"/>
          <w:kern w:val="0"/>
          <w:sz w:val="32"/>
          <w:szCs w:val="32"/>
          <w:highlight w:val="none"/>
          <w:lang w:eastAsia="zh-CN"/>
        </w:rPr>
      </w:pPr>
    </w:p>
    <w:p w14:paraId="71A20073">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078EC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5F5B41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C649F49">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BD67FC4">
      <w:pPr>
        <w:spacing w:line="360" w:lineRule="auto"/>
        <w:jc w:val="center"/>
        <w:outlineLvl w:val="1"/>
        <w:rPr>
          <w:rFonts w:hint="eastAsia" w:ascii="宋体" w:hAnsi="宋体" w:cs="宋体"/>
          <w:b/>
          <w:bCs/>
          <w:snapToGrid w:val="0"/>
          <w:color w:val="000000"/>
          <w:kern w:val="0"/>
          <w:sz w:val="32"/>
          <w:szCs w:val="32"/>
          <w:highlight w:val="none"/>
        </w:rPr>
      </w:pPr>
      <w:r>
        <w:rPr>
          <w:rFonts w:hint="eastAsia" w:ascii="宋体" w:hAnsi="宋体" w:cs="宋体"/>
          <w:b/>
          <w:bCs/>
          <w:snapToGrid w:val="0"/>
          <w:color w:val="000000"/>
          <w:kern w:val="0"/>
          <w:sz w:val="32"/>
          <w:szCs w:val="32"/>
          <w:highlight w:val="none"/>
          <w:lang w:eastAsia="zh-CN"/>
        </w:rPr>
        <w:t>（二）</w:t>
      </w:r>
      <w:r>
        <w:rPr>
          <w:rFonts w:hint="eastAsia" w:ascii="宋体" w:hAnsi="宋体" w:cs="宋体"/>
          <w:b/>
          <w:bCs/>
          <w:snapToGrid w:val="0"/>
          <w:color w:val="000000"/>
          <w:kern w:val="0"/>
          <w:sz w:val="32"/>
          <w:szCs w:val="32"/>
          <w:highlight w:val="none"/>
        </w:rPr>
        <w:t>资格性文件</w:t>
      </w:r>
      <w:bookmarkEnd w:id="0"/>
      <w:bookmarkEnd w:id="1"/>
      <w:bookmarkEnd w:id="2"/>
    </w:p>
    <w:p w14:paraId="6AF37743">
      <w:pPr>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w:t>
      </w:r>
      <w:r>
        <w:rPr>
          <w:rFonts w:hint="eastAsia" w:ascii="宋体" w:hAnsi="宋体" w:cs="宋体"/>
          <w:b/>
          <w:bCs/>
          <w:snapToGrid w:val="0"/>
          <w:color w:val="000000"/>
          <w:kern w:val="0"/>
          <w:sz w:val="28"/>
          <w:szCs w:val="28"/>
          <w:highlight w:val="none"/>
        </w:rPr>
        <w:t>1、</w:t>
      </w:r>
      <w:r>
        <w:rPr>
          <w:rFonts w:hint="eastAsia" w:ascii="宋体" w:hAnsi="宋体" w:cs="宋体"/>
          <w:b/>
          <w:bCs/>
          <w:snapToGrid w:val="0"/>
          <w:color w:val="000000"/>
          <w:kern w:val="0"/>
          <w:sz w:val="28"/>
          <w:szCs w:val="28"/>
          <w:highlight w:val="none"/>
          <w:lang w:eastAsia="zh-CN"/>
        </w:rPr>
        <w:t>响应</w:t>
      </w:r>
      <w:r>
        <w:rPr>
          <w:rFonts w:hint="eastAsia" w:ascii="宋体" w:hAnsi="宋体" w:cs="宋体"/>
          <w:b/>
          <w:bCs/>
          <w:snapToGrid w:val="0"/>
          <w:color w:val="000000"/>
          <w:kern w:val="0"/>
          <w:sz w:val="28"/>
          <w:szCs w:val="28"/>
          <w:highlight w:val="none"/>
        </w:rPr>
        <w:t>函格式</w:t>
      </w:r>
    </w:p>
    <w:p w14:paraId="45CF8C16">
      <w:pPr>
        <w:pStyle w:val="22"/>
        <w:adjustRightInd w:val="0"/>
        <w:snapToGrid w:val="0"/>
        <w:spacing w:line="360" w:lineRule="auto"/>
        <w:ind w:firstLine="3534" w:firstLineChars="1100"/>
        <w:rPr>
          <w:rFonts w:hint="eastAsia" w:hAnsi="宋体" w:cs="宋体"/>
          <w:b/>
          <w:snapToGrid w:val="0"/>
          <w:color w:val="000000"/>
          <w:kern w:val="0"/>
          <w:sz w:val="32"/>
          <w:highlight w:val="none"/>
        </w:rPr>
      </w:pPr>
      <w:r>
        <w:rPr>
          <w:rFonts w:hint="eastAsia" w:hAnsi="宋体" w:cs="宋体"/>
          <w:b/>
          <w:snapToGrid w:val="0"/>
          <w:color w:val="000000"/>
          <w:kern w:val="0"/>
          <w:sz w:val="32"/>
          <w:highlight w:val="none"/>
          <w:lang w:eastAsia="zh-CN"/>
        </w:rPr>
        <w:t>响</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lang w:eastAsia="zh-CN"/>
        </w:rPr>
        <w:t>应</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rPr>
        <w:t>函</w:t>
      </w:r>
    </w:p>
    <w:p w14:paraId="2F30E92B">
      <w:pPr>
        <w:pStyle w:val="23"/>
        <w:overflowPunct/>
        <w:autoSpaceDE/>
        <w:autoSpaceDN/>
        <w:snapToGrid w:val="0"/>
        <w:spacing w:line="360" w:lineRule="auto"/>
        <w:textAlignment w:val="auto"/>
        <w:rPr>
          <w:rFonts w:hint="eastAsia" w:ascii="宋体" w:hAnsi="宋体" w:eastAsia="宋体" w:cs="宋体"/>
          <w:bCs/>
          <w:color w:val="000000"/>
          <w:kern w:val="2"/>
          <w:szCs w:val="24"/>
          <w:highlight w:val="none"/>
          <w:lang w:eastAsia="zh-CN"/>
        </w:rPr>
      </w:pPr>
      <w:r>
        <w:rPr>
          <w:rFonts w:hint="eastAsia" w:ascii="宋体" w:hAnsi="宋体" w:eastAsia="宋体" w:cs="宋体"/>
          <w:color w:val="000000"/>
          <w:kern w:val="2"/>
          <w:szCs w:val="24"/>
          <w:highlight w:val="none"/>
        </w:rPr>
        <w:t>致：</w:t>
      </w:r>
      <w:r>
        <w:rPr>
          <w:rFonts w:hint="eastAsia" w:ascii="宋体" w:hAnsi="宋体" w:eastAsia="宋体" w:cs="宋体"/>
          <w:color w:val="000000"/>
          <w:kern w:val="2"/>
          <w:szCs w:val="24"/>
          <w:highlight w:val="none"/>
          <w:lang w:eastAsia="zh-CN"/>
        </w:rPr>
        <w:t>河源市人民医院</w:t>
      </w:r>
    </w:p>
    <w:p w14:paraId="09EABD62">
      <w:pPr>
        <w:adjustRightInd w:val="0"/>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我方确认收到贵</w:t>
      </w:r>
      <w:r>
        <w:rPr>
          <w:rFonts w:hint="eastAsia" w:ascii="宋体" w:hAnsi="宋体" w:cs="宋体"/>
          <w:color w:val="000000"/>
          <w:sz w:val="24"/>
          <w:highlight w:val="none"/>
          <w:lang w:eastAsia="zh-CN"/>
        </w:rPr>
        <w:t>单位</w:t>
      </w:r>
      <w:r>
        <w:rPr>
          <w:rFonts w:hint="eastAsia" w:ascii="宋体" w:hAnsi="宋体" w:cs="宋体"/>
          <w:color w:val="000000"/>
          <w:sz w:val="24"/>
          <w:highlight w:val="none"/>
        </w:rPr>
        <w:t>提供的项目编号为</w:t>
      </w:r>
      <w:r>
        <w:rPr>
          <w:rFonts w:hint="eastAsia" w:ascii="宋体" w:hAnsi="宋体" w:cs="宋体"/>
          <w:color w:val="000000"/>
          <w:sz w:val="24"/>
          <w:highlight w:val="none"/>
          <w:u w:val="single"/>
          <w:lang w:eastAsia="zh-CN"/>
        </w:rPr>
        <w:t>HYRY-2026-001</w:t>
      </w:r>
      <w:r>
        <w:rPr>
          <w:rFonts w:hint="eastAsia" w:ascii="宋体" w:hAnsi="宋体" w:cs="宋体"/>
          <w:color w:val="000000"/>
          <w:sz w:val="24"/>
          <w:highlight w:val="none"/>
        </w:rPr>
        <w:t>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z w:val="24"/>
          <w:highlight w:val="none"/>
          <w:u w:val="single"/>
          <w:lang w:val="en-US" w:eastAsia="zh-CN"/>
        </w:rPr>
        <w:t>采购</w:t>
      </w:r>
      <w:r>
        <w:rPr>
          <w:rFonts w:hint="eastAsia" w:ascii="宋体" w:hAnsi="宋体" w:cs="宋体"/>
          <w:color w:val="000000"/>
          <w:sz w:val="24"/>
          <w:highlight w:val="none"/>
          <w:lang w:eastAsia="zh-CN"/>
        </w:rPr>
        <w:t>公告</w:t>
      </w:r>
      <w:r>
        <w:rPr>
          <w:rFonts w:hint="eastAsia" w:ascii="宋体" w:hAnsi="宋体" w:cs="宋体"/>
          <w:color w:val="000000"/>
          <w:sz w:val="24"/>
          <w:highlight w:val="none"/>
        </w:rPr>
        <w:t>的全部内容，遵照国家和地方相关法律、法规的规定，我方经详细研究上述</w:t>
      </w:r>
      <w:r>
        <w:rPr>
          <w:rFonts w:hint="eastAsia" w:ascii="宋体" w:hAnsi="宋体" w:cs="宋体"/>
          <w:color w:val="000000"/>
          <w:sz w:val="24"/>
          <w:highlight w:val="none"/>
          <w:lang w:eastAsia="zh-CN"/>
        </w:rPr>
        <w:t>项目公告</w:t>
      </w:r>
      <w:r>
        <w:rPr>
          <w:rFonts w:hint="eastAsia" w:ascii="宋体" w:hAnsi="宋体" w:cs="宋体"/>
          <w:color w:val="000000"/>
          <w:sz w:val="24"/>
          <w:highlight w:val="none"/>
        </w:rPr>
        <w:t>和其他有关文件后，正式授权</w:t>
      </w:r>
      <w:r>
        <w:rPr>
          <w:rFonts w:hint="eastAsia" w:ascii="宋体" w:hAnsi="宋体" w:cs="宋体"/>
          <w:color w:val="000000"/>
          <w:sz w:val="24"/>
          <w:highlight w:val="none"/>
          <w:u w:val="single"/>
        </w:rPr>
        <w:t xml:space="preserve"> （授权代表全名、职务） </w:t>
      </w:r>
      <w:r>
        <w:rPr>
          <w:rFonts w:hint="eastAsia" w:ascii="宋体" w:hAnsi="宋体" w:cs="宋体"/>
          <w:color w:val="000000"/>
          <w:sz w:val="24"/>
          <w:highlight w:val="none"/>
        </w:rPr>
        <w:t>代表我方进行有关本次报价的一切事宜。为此，我方谨郑重声明以下几点，并对之负法律责任。</w:t>
      </w:r>
    </w:p>
    <w:p w14:paraId="3B9684F0">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kern w:val="10"/>
          <w:sz w:val="24"/>
          <w:highlight w:val="none"/>
        </w:rPr>
        <w:t>决定参加项目编号为</w:t>
      </w:r>
      <w:r>
        <w:rPr>
          <w:rFonts w:hint="eastAsia" w:ascii="宋体" w:hAnsi="宋体" w:cs="宋体"/>
          <w:color w:val="000000"/>
          <w:kern w:val="10"/>
          <w:sz w:val="24"/>
          <w:highlight w:val="none"/>
          <w:u w:val="single"/>
          <w:lang w:eastAsia="zh-CN"/>
        </w:rPr>
        <w:t>HYRY-2026-001</w:t>
      </w:r>
      <w:r>
        <w:rPr>
          <w:rFonts w:hint="eastAsia" w:ascii="宋体" w:hAnsi="宋体" w:cs="宋体"/>
          <w:color w:val="000000"/>
          <w:kern w:val="10"/>
          <w:sz w:val="24"/>
          <w:highlight w:val="none"/>
        </w:rPr>
        <w:t>的</w:t>
      </w:r>
      <w:r>
        <w:rPr>
          <w:rFonts w:hint="eastAsia" w:ascii="宋体" w:hAnsi="宋体" w:cs="宋体"/>
          <w:color w:val="000000"/>
          <w:kern w:val="10"/>
          <w:sz w:val="24"/>
          <w:highlight w:val="none"/>
          <w:lang w:eastAsia="zh-CN"/>
        </w:rPr>
        <w:t>征集活动</w:t>
      </w:r>
      <w:r>
        <w:rPr>
          <w:rFonts w:hint="eastAsia" w:ascii="宋体" w:hAnsi="宋体" w:cs="宋体"/>
          <w:color w:val="000000"/>
          <w:sz w:val="24"/>
          <w:highlight w:val="none"/>
        </w:rPr>
        <w:t>。</w:t>
      </w:r>
    </w:p>
    <w:p w14:paraId="1A06933F">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我方提交的响应文件为：</w:t>
      </w:r>
      <w:r>
        <w:rPr>
          <w:rFonts w:hint="eastAsia" w:ascii="宋体" w:hAnsi="宋体" w:cs="宋体"/>
          <w:b/>
          <w:bCs/>
          <w:color w:val="000000"/>
          <w:sz w:val="24"/>
          <w:highlight w:val="none"/>
        </w:rPr>
        <w:t>正本一份，副本二份，电子文件一份</w:t>
      </w:r>
      <w:r>
        <w:rPr>
          <w:rFonts w:hint="eastAsia" w:ascii="宋体" w:hAnsi="宋体" w:cs="宋体"/>
          <w:color w:val="000000"/>
          <w:sz w:val="24"/>
          <w:highlight w:val="none"/>
        </w:rPr>
        <w:t>。</w:t>
      </w:r>
    </w:p>
    <w:p w14:paraId="3E2F4544">
      <w:pPr>
        <w:numPr>
          <w:ilvl w:val="0"/>
          <w:numId w:val="7"/>
        </w:numPr>
        <w:tabs>
          <w:tab w:val="left" w:pos="420"/>
        </w:tabs>
        <w:adjustRightInd w:val="0"/>
        <w:snapToGrid w:val="0"/>
        <w:spacing w:line="360" w:lineRule="auto"/>
        <w:ind w:left="420" w:right="-365" w:rightChars="-174"/>
        <w:rPr>
          <w:rFonts w:hint="eastAsia" w:ascii="宋体" w:hAnsi="宋体" w:cs="宋体"/>
          <w:color w:val="000000"/>
          <w:sz w:val="24"/>
          <w:highlight w:val="none"/>
        </w:rPr>
      </w:pPr>
      <w:r>
        <w:rPr>
          <w:rFonts w:hint="eastAsia" w:ascii="宋体" w:hAnsi="宋体" w:cs="宋体"/>
          <w:color w:val="000000"/>
          <w:sz w:val="24"/>
          <w:highlight w:val="none"/>
        </w:rPr>
        <w:t>我方承诺在本次响应文件中提供的一切文件，无论是原件还是复印件均为真实和准确的，绝无任何虚假、伪造和夸大</w:t>
      </w:r>
      <w:r>
        <w:rPr>
          <w:rFonts w:hint="eastAsia" w:ascii="宋体" w:hAnsi="宋体" w:cs="宋体"/>
          <w:color w:val="000000"/>
          <w:sz w:val="24"/>
          <w:highlight w:val="none"/>
          <w:lang w:eastAsia="zh-CN"/>
        </w:rPr>
        <w:t>的成分</w:t>
      </w:r>
      <w:r>
        <w:rPr>
          <w:rFonts w:hint="eastAsia" w:ascii="宋体" w:hAnsi="宋体" w:cs="宋体"/>
          <w:color w:val="000000"/>
          <w:sz w:val="24"/>
          <w:highlight w:val="none"/>
        </w:rPr>
        <w:t>，否则，愿承担相应的后果和法律责任。</w:t>
      </w:r>
    </w:p>
    <w:p w14:paraId="37B94225">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我方完全服从和尊重</w:t>
      </w:r>
      <w:r>
        <w:rPr>
          <w:rFonts w:hint="eastAsia" w:ascii="宋体" w:hAnsi="宋体" w:cs="宋体"/>
          <w:color w:val="000000"/>
          <w:sz w:val="24"/>
          <w:highlight w:val="none"/>
          <w:lang w:eastAsia="zh-CN"/>
        </w:rPr>
        <w:t>院方评审小组成员</w:t>
      </w:r>
      <w:r>
        <w:rPr>
          <w:rFonts w:hint="eastAsia" w:ascii="宋体" w:hAnsi="宋体" w:cs="宋体"/>
          <w:color w:val="000000"/>
          <w:sz w:val="24"/>
          <w:highlight w:val="none"/>
        </w:rPr>
        <w:t>所作的评定结果，同时清楚理解到报价最低并非意味着必定获得成交资格。</w:t>
      </w:r>
    </w:p>
    <w:p w14:paraId="411AD63E">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我方已经详细地阅读了全部文件及其附件，包括澄清及参考文件(如果有的话)。我方已完全清晰理解</w:t>
      </w:r>
      <w:r>
        <w:rPr>
          <w:rFonts w:hint="eastAsia" w:ascii="宋体" w:hAnsi="宋体" w:cs="宋体"/>
          <w:color w:val="000000"/>
          <w:sz w:val="24"/>
          <w:highlight w:val="none"/>
          <w:lang w:eastAsia="zh-CN"/>
        </w:rPr>
        <w:t>本项目用户需求</w:t>
      </w:r>
      <w:r>
        <w:rPr>
          <w:rFonts w:hint="eastAsia" w:ascii="宋体" w:hAnsi="宋体" w:cs="宋体"/>
          <w:color w:val="000000"/>
          <w:sz w:val="24"/>
          <w:highlight w:val="none"/>
        </w:rPr>
        <w:t>的要求，不存在任何含糊不清和误解之处，同意放弃对这些文件所提出的异议和质疑的权利。</w:t>
      </w:r>
    </w:p>
    <w:p w14:paraId="68423FB3">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我方如果</w:t>
      </w:r>
      <w:r>
        <w:rPr>
          <w:rFonts w:hint="eastAsia" w:ascii="宋体" w:hAnsi="宋体" w:cs="宋体"/>
          <w:color w:val="000000"/>
          <w:sz w:val="24"/>
          <w:highlight w:val="none"/>
          <w:lang w:eastAsia="zh-CN"/>
        </w:rPr>
        <w:t>中选</w:t>
      </w:r>
      <w:r>
        <w:rPr>
          <w:rFonts w:hint="eastAsia" w:ascii="宋体" w:hAnsi="宋体" w:cs="宋体"/>
          <w:color w:val="000000"/>
          <w:sz w:val="24"/>
          <w:highlight w:val="none"/>
        </w:rPr>
        <w:t>，将保证履行</w:t>
      </w:r>
      <w:r>
        <w:rPr>
          <w:rFonts w:hint="eastAsia" w:ascii="宋体" w:hAnsi="宋体" w:cs="宋体"/>
          <w:color w:val="000000"/>
          <w:sz w:val="24"/>
          <w:highlight w:val="none"/>
          <w:lang w:eastAsia="zh-CN"/>
        </w:rPr>
        <w:t>用户需求</w:t>
      </w:r>
      <w:r>
        <w:rPr>
          <w:rFonts w:hint="eastAsia" w:ascii="宋体" w:hAnsi="宋体" w:cs="宋体"/>
          <w:color w:val="000000"/>
          <w:sz w:val="24"/>
          <w:highlight w:val="none"/>
        </w:rPr>
        <w:t>书中的全部责任和义务，按质、按量、按期完成</w:t>
      </w:r>
      <w:r>
        <w:rPr>
          <w:rFonts w:hint="eastAsia" w:ascii="宋体" w:hAnsi="宋体" w:cs="宋体"/>
          <w:color w:val="000000"/>
          <w:sz w:val="24"/>
          <w:highlight w:val="none"/>
          <w:lang w:eastAsia="zh-CN"/>
        </w:rPr>
        <w:t>服务期限内</w:t>
      </w:r>
      <w:r>
        <w:rPr>
          <w:rFonts w:hint="eastAsia" w:ascii="宋体" w:hAnsi="宋体" w:cs="宋体"/>
          <w:color w:val="000000"/>
          <w:sz w:val="24"/>
          <w:highlight w:val="none"/>
        </w:rPr>
        <w:t>的全部任务。</w:t>
      </w:r>
    </w:p>
    <w:p w14:paraId="64D5443C">
      <w:pPr>
        <w:numPr>
          <w:ilvl w:val="0"/>
          <w:numId w:val="7"/>
        </w:numPr>
        <w:tabs>
          <w:tab w:val="left" w:pos="420"/>
        </w:tabs>
        <w:adjustRightInd w:val="0"/>
        <w:snapToGrid w:val="0"/>
        <w:spacing w:line="360" w:lineRule="auto"/>
        <w:ind w:left="420"/>
        <w:rPr>
          <w:rFonts w:hint="eastAsia" w:ascii="宋体" w:hAnsi="宋体" w:cs="宋体"/>
          <w:bCs/>
          <w:color w:val="000000"/>
          <w:sz w:val="24"/>
          <w:highlight w:val="none"/>
        </w:rPr>
      </w:pPr>
      <w:r>
        <w:rPr>
          <w:rFonts w:hint="eastAsia" w:ascii="宋体" w:hAnsi="宋体" w:cs="宋体"/>
          <w:color w:val="000000"/>
          <w:sz w:val="24"/>
          <w:highlight w:val="none"/>
        </w:rPr>
        <w:t>与本报价有关的一切正式往来信函请寄：</w:t>
      </w:r>
    </w:p>
    <w:p w14:paraId="0E4FF5DF">
      <w:p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16E61326">
      <w:pPr>
        <w:adjustRightInd w:val="0"/>
        <w:snapToGrid w:val="0"/>
        <w:spacing w:line="360" w:lineRule="auto"/>
        <w:rPr>
          <w:rFonts w:hint="eastAsia" w:ascii="宋体" w:hAnsi="宋体" w:cs="宋体"/>
          <w:b/>
          <w:bCs/>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E--mail ：</w:t>
      </w:r>
      <w:r>
        <w:rPr>
          <w:rFonts w:hint="eastAsia" w:ascii="宋体" w:hAnsi="宋体" w:cs="宋体"/>
          <w:color w:val="000000"/>
          <w:sz w:val="24"/>
          <w:highlight w:val="none"/>
          <w:u w:val="single"/>
        </w:rPr>
        <w:t xml:space="preserve">                  </w:t>
      </w:r>
    </w:p>
    <w:p w14:paraId="0C0667EE">
      <w:pPr>
        <w:adjustRightInd w:val="0"/>
        <w:snapToGrid w:val="0"/>
        <w:spacing w:line="360" w:lineRule="auto"/>
        <w:ind w:firstLine="5040" w:firstLineChars="21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D4D9C24">
      <w:pPr>
        <w:tabs>
          <w:tab w:val="left" w:pos="5040"/>
        </w:tabs>
        <w:adjustRightInd w:val="0"/>
        <w:snapToGrid w:val="0"/>
        <w:spacing w:line="360" w:lineRule="auto"/>
        <w:ind w:left="5161" w:leftChars="2442" w:hanging="33" w:hangingChars="14"/>
        <w:rPr>
          <w:rFonts w:hint="eastAsia" w:ascii="宋体" w:hAnsi="宋体" w:cs="宋体" w:eastAsiaTheme="minorEastAsia"/>
          <w:b w:val="0"/>
          <w:bCs w:val="0"/>
          <w:color w:val="000000"/>
          <w:kern w:val="2"/>
          <w:sz w:val="24"/>
          <w:szCs w:val="24"/>
          <w:highlight w:val="none"/>
          <w:lang w:val="en-US" w:eastAsia="zh-CN" w:bidi="ar-SA"/>
        </w:rPr>
      </w:pPr>
      <w:r>
        <w:rPr>
          <w:rFonts w:hint="eastAsia" w:ascii="宋体" w:hAnsi="宋体" w:cs="宋体"/>
          <w:color w:val="000000"/>
          <w:sz w:val="24"/>
          <w:highlight w:val="none"/>
        </w:rPr>
        <w:t>法定代表人/授权代表（签字或盖章）：</w:t>
      </w:r>
      <w:r>
        <w:rPr>
          <w:rFonts w:hint="eastAsia" w:ascii="宋体" w:hAnsi="宋体" w:cs="宋体" w:eastAsiaTheme="minorEastAsia"/>
          <w:b w:val="0"/>
          <w:bCs w:val="0"/>
          <w:color w:val="000000"/>
          <w:kern w:val="2"/>
          <w:sz w:val="24"/>
          <w:szCs w:val="24"/>
          <w:highlight w:val="none"/>
          <w:lang w:val="en-US" w:eastAsia="zh-CN" w:bidi="ar-SA"/>
        </w:rPr>
        <w:t>日  期：</w:t>
      </w:r>
    </w:p>
    <w:p w14:paraId="72A963D1">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7F1125F7">
      <w:pPr>
        <w:adjustRightInd w:val="0"/>
        <w:snapToGrid w:val="0"/>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2.2</w:t>
      </w:r>
      <w:r>
        <w:rPr>
          <w:rFonts w:hint="eastAsia" w:ascii="宋体" w:hAnsi="宋体" w:cs="宋体"/>
          <w:b/>
          <w:bCs/>
          <w:snapToGrid w:val="0"/>
          <w:color w:val="000000"/>
          <w:kern w:val="0"/>
          <w:sz w:val="28"/>
          <w:szCs w:val="28"/>
          <w:highlight w:val="none"/>
        </w:rPr>
        <w:t>关于资格的声明函格式</w:t>
      </w:r>
    </w:p>
    <w:p w14:paraId="152EAA6A">
      <w:pPr>
        <w:adjustRightInd w:val="0"/>
        <w:snapToGrid w:val="0"/>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关于资格的声明函</w:t>
      </w:r>
    </w:p>
    <w:p w14:paraId="1D720B49">
      <w:pPr>
        <w:adjustRightInd w:val="0"/>
        <w:snapToGrid w:val="0"/>
        <w:spacing w:line="360" w:lineRule="auto"/>
        <w:jc w:val="center"/>
        <w:rPr>
          <w:rFonts w:hint="eastAsia" w:ascii="宋体" w:hAnsi="宋体" w:cs="宋体"/>
          <w:b/>
          <w:color w:val="000000"/>
          <w:sz w:val="28"/>
          <w:szCs w:val="28"/>
          <w:highlight w:val="none"/>
        </w:rPr>
      </w:pPr>
    </w:p>
    <w:p w14:paraId="162C852D">
      <w:pPr>
        <w:spacing w:line="360" w:lineRule="auto"/>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致：</w:t>
      </w:r>
      <w:r>
        <w:rPr>
          <w:rFonts w:hint="eastAsia" w:ascii="宋体" w:hAnsi="宋体" w:cs="宋体"/>
          <w:color w:val="000000"/>
          <w:spacing w:val="6"/>
          <w:sz w:val="24"/>
          <w:highlight w:val="none"/>
          <w:u w:val="single"/>
          <w:lang w:eastAsia="zh-CN"/>
        </w:rPr>
        <w:t>河源市人民医院</w:t>
      </w:r>
    </w:p>
    <w:p w14:paraId="50661A8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pacing w:val="6"/>
          <w:sz w:val="24"/>
          <w:highlight w:val="none"/>
        </w:rPr>
        <w:t>关于贵</w:t>
      </w:r>
      <w:r>
        <w:rPr>
          <w:rFonts w:hint="eastAsia" w:ascii="宋体" w:hAnsi="宋体" w:cs="宋体"/>
          <w:color w:val="000000"/>
          <w:spacing w:val="6"/>
          <w:sz w:val="24"/>
          <w:highlight w:val="none"/>
          <w:lang w:eastAsia="zh-CN"/>
        </w:rPr>
        <w:t>单位</w:t>
      </w:r>
      <w:r>
        <w:rPr>
          <w:rFonts w:hint="eastAsia" w:ascii="宋体" w:hAnsi="宋体" w:cs="宋体"/>
          <w:color w:val="000000"/>
          <w:spacing w:val="6"/>
          <w:sz w:val="24"/>
          <w:highlight w:val="none"/>
        </w:rPr>
        <w:t>组织的</w:t>
      </w:r>
      <w:r>
        <w:rPr>
          <w:rFonts w:hint="eastAsia" w:ascii="宋体" w:hAnsi="宋体" w:cs="宋体"/>
          <w:b/>
          <w:bCs/>
          <w:color w:val="000000"/>
          <w:spacing w:val="6"/>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w:t>
      </w:r>
      <w:r>
        <w:rPr>
          <w:rFonts w:hint="eastAsia" w:ascii="宋体" w:hAnsi="宋体" w:cs="宋体"/>
          <w:color w:val="000000"/>
          <w:sz w:val="24"/>
          <w:highlight w:val="none"/>
          <w:lang w:eastAsia="zh-CN"/>
        </w:rPr>
        <w:t>征集活动</w:t>
      </w:r>
      <w:r>
        <w:rPr>
          <w:rFonts w:hint="eastAsia" w:ascii="宋体" w:hAnsi="宋体" w:cs="宋体"/>
          <w:color w:val="000000"/>
          <w:sz w:val="24"/>
          <w:highlight w:val="none"/>
        </w:rPr>
        <w:t>，本公司（企业）愿意参加，并声明：</w:t>
      </w:r>
    </w:p>
    <w:p w14:paraId="772FC2FA">
      <w:pPr>
        <w:numPr>
          <w:ilvl w:val="0"/>
          <w:numId w:val="8"/>
        </w:numPr>
        <w:tabs>
          <w:tab w:val="left" w:pos="540"/>
          <w:tab w:val="clear" w:pos="420"/>
        </w:tabs>
        <w:spacing w:line="360" w:lineRule="auto"/>
        <w:ind w:left="540" w:firstLine="0"/>
        <w:rPr>
          <w:rFonts w:hint="eastAsia" w:ascii="宋体" w:hAnsi="宋体" w:cs="宋体"/>
          <w:b/>
          <w:color w:val="000000"/>
          <w:sz w:val="24"/>
          <w:highlight w:val="none"/>
        </w:rPr>
      </w:pPr>
      <w:r>
        <w:rPr>
          <w:rFonts w:hint="eastAsia" w:ascii="宋体" w:hAnsi="宋体" w:cs="宋体"/>
          <w:b/>
          <w:color w:val="000000"/>
          <w:sz w:val="24"/>
          <w:highlight w:val="none"/>
        </w:rPr>
        <w:t>确认本公司（企业）符合</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lang w:eastAsia="zh-CN"/>
        </w:rPr>
        <w:t>公告</w:t>
      </w:r>
      <w:r>
        <w:rPr>
          <w:rFonts w:hint="eastAsia" w:ascii="宋体" w:hAnsi="宋体" w:cs="宋体"/>
          <w:b/>
          <w:color w:val="000000"/>
          <w:sz w:val="24"/>
          <w:highlight w:val="none"/>
        </w:rPr>
        <w:t>的</w:t>
      </w:r>
      <w:r>
        <w:rPr>
          <w:rFonts w:hint="eastAsia" w:ascii="宋体" w:hAnsi="宋体" w:cs="宋体"/>
          <w:b/>
          <w:color w:val="000000"/>
          <w:sz w:val="24"/>
          <w:highlight w:val="none"/>
          <w:lang w:eastAsia="zh-CN"/>
        </w:rPr>
        <w:t>资格</w:t>
      </w:r>
      <w:r>
        <w:rPr>
          <w:rFonts w:hint="eastAsia" w:ascii="宋体" w:hAnsi="宋体" w:cs="宋体"/>
          <w:b/>
          <w:color w:val="000000"/>
          <w:sz w:val="24"/>
          <w:highlight w:val="none"/>
        </w:rPr>
        <w:t>条件，并承诺在本次</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rPr>
        <w:t>活动中，如有违法、违规、弄虚作假行为，所造成的损失、不良后果及法律责任，一律由我公司（企业）承担。</w:t>
      </w:r>
    </w:p>
    <w:p w14:paraId="36CB0F70">
      <w:pPr>
        <w:numPr>
          <w:ilvl w:val="0"/>
          <w:numId w:val="8"/>
        </w:numPr>
        <w:tabs>
          <w:tab w:val="left" w:pos="540"/>
          <w:tab w:val="clear" w:pos="420"/>
        </w:tabs>
        <w:spacing w:line="360" w:lineRule="auto"/>
        <w:ind w:left="540" w:firstLine="0"/>
        <w:rPr>
          <w:rFonts w:hint="eastAsia" w:ascii="宋体" w:hAnsi="宋体" w:cs="宋体"/>
          <w:color w:val="000000"/>
          <w:sz w:val="24"/>
          <w:highlight w:val="none"/>
        </w:rPr>
      </w:pPr>
      <w:r>
        <w:rPr>
          <w:rFonts w:hint="eastAsia" w:ascii="宋体" w:hAnsi="宋体" w:cs="宋体"/>
          <w:color w:val="000000"/>
          <w:sz w:val="24"/>
          <w:highlight w:val="none"/>
        </w:rPr>
        <w:t>本公司（企业）承诺提供符合项目要求的相关服务；所提交的资格证明</w:t>
      </w:r>
    </w:p>
    <w:p w14:paraId="13AE53D3">
      <w:pPr>
        <w:spacing w:line="360" w:lineRule="auto"/>
        <w:ind w:left="718" w:leftChars="342" w:firstLine="0" w:firstLineChars="0"/>
        <w:rPr>
          <w:rFonts w:hint="eastAsia" w:ascii="宋体" w:hAnsi="宋体" w:cs="宋体"/>
          <w:color w:val="000000"/>
          <w:sz w:val="24"/>
          <w:highlight w:val="none"/>
        </w:rPr>
      </w:pPr>
      <w:r>
        <w:rPr>
          <w:rFonts w:hint="eastAsia" w:ascii="宋体" w:hAnsi="宋体" w:cs="宋体"/>
          <w:color w:val="000000"/>
          <w:sz w:val="24"/>
          <w:highlight w:val="none"/>
        </w:rPr>
        <w:t>材料和说明是准确、真实、有效的，并已清楚</w:t>
      </w:r>
      <w:r>
        <w:rPr>
          <w:rFonts w:hint="eastAsia" w:ascii="宋体" w:hAnsi="宋体" w:cs="宋体"/>
          <w:color w:val="000000"/>
          <w:sz w:val="24"/>
          <w:highlight w:val="none"/>
          <w:lang w:val="en-US" w:eastAsia="zh-CN"/>
        </w:rPr>
        <w:t>采购方</w:t>
      </w:r>
      <w:r>
        <w:rPr>
          <w:rFonts w:hint="eastAsia" w:ascii="宋体" w:hAnsi="宋体" w:cs="宋体"/>
          <w:color w:val="000000"/>
          <w:sz w:val="24"/>
          <w:highlight w:val="none"/>
        </w:rPr>
        <w:t>的要求及有关文件规定。</w:t>
      </w:r>
    </w:p>
    <w:p w14:paraId="4B968811">
      <w:pPr>
        <w:spacing w:before="240"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商的名称和地址： </w:t>
      </w:r>
    </w:p>
    <w:p w14:paraId="2E0D0FA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w:t>
      </w:r>
    </w:p>
    <w:p w14:paraId="35ECFA75">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3FE15053">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 xml:space="preserve">E--mail  </w:t>
      </w:r>
      <w:r>
        <w:rPr>
          <w:rFonts w:hint="eastAsia" w:ascii="宋体" w:hAnsi="宋体" w:cs="宋体"/>
          <w:color w:val="000000"/>
          <w:sz w:val="24"/>
          <w:highlight w:val="none"/>
          <w:u w:val="single"/>
        </w:rPr>
        <w:t xml:space="preserve">                       </w:t>
      </w:r>
    </w:p>
    <w:p w14:paraId="2B408E0F">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p>
    <w:p w14:paraId="6AEC84D2">
      <w:pPr>
        <w:spacing w:line="360" w:lineRule="auto"/>
        <w:ind w:left="420"/>
        <w:rPr>
          <w:rFonts w:hint="eastAsia" w:ascii="宋体" w:hAnsi="宋体" w:cs="宋体"/>
          <w:color w:val="000000"/>
          <w:sz w:val="24"/>
          <w:highlight w:val="none"/>
          <w:u w:val="single"/>
        </w:rPr>
      </w:pPr>
    </w:p>
    <w:p w14:paraId="5008C94B">
      <w:pPr>
        <w:spacing w:line="360" w:lineRule="auto"/>
        <w:ind w:left="420"/>
        <w:rPr>
          <w:rFonts w:hint="eastAsia" w:ascii="宋体" w:hAnsi="宋体" w:cs="宋体"/>
          <w:color w:val="000000"/>
          <w:sz w:val="24"/>
          <w:highlight w:val="none"/>
          <w:u w:val="single"/>
        </w:rPr>
      </w:pPr>
    </w:p>
    <w:p w14:paraId="1BDB6C80">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2E91EC4B">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F7907F5">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日  期：</w:t>
      </w:r>
    </w:p>
    <w:p w14:paraId="6CEAF0DB">
      <w:pPr>
        <w:pStyle w:val="3"/>
        <w:numPr>
          <w:ilvl w:val="1"/>
          <w:numId w:val="0"/>
        </w:numPr>
        <w:spacing w:line="360" w:lineRule="auto"/>
        <w:jc w:val="left"/>
        <w:rPr>
          <w:rFonts w:hint="eastAsia" w:ascii="宋体" w:hAnsi="宋体" w:cs="宋体" w:eastAsiaTheme="minorEastAsia"/>
          <w:b/>
          <w:bCs/>
          <w:snapToGrid w:val="0"/>
          <w:color w:val="000000"/>
          <w:kern w:val="0"/>
          <w:sz w:val="28"/>
          <w:szCs w:val="28"/>
          <w:highlight w:val="none"/>
          <w:lang w:val="en-US" w:eastAsia="zh-CN" w:bidi="ar-SA"/>
        </w:rPr>
      </w:pPr>
      <w:bookmarkStart w:id="3" w:name="_Toc20895"/>
      <w:bookmarkStart w:id="4" w:name="_Toc2295"/>
      <w:bookmarkStart w:id="5" w:name="_Toc5270"/>
    </w:p>
    <w:p w14:paraId="726AD6D0">
      <w:pPr>
        <w:rPr>
          <w:rFonts w:hint="eastAsia" w:ascii="宋体" w:hAnsi="宋体" w:cs="宋体" w:eastAsiaTheme="minorEastAsia"/>
          <w:b/>
          <w:bCs/>
          <w:snapToGrid w:val="0"/>
          <w:color w:val="000000"/>
          <w:kern w:val="0"/>
          <w:sz w:val="28"/>
          <w:szCs w:val="28"/>
          <w:highlight w:val="none"/>
          <w:lang w:val="en-US" w:eastAsia="zh-CN" w:bidi="ar-SA"/>
        </w:rPr>
      </w:pPr>
    </w:p>
    <w:p w14:paraId="4E597BC7">
      <w:pPr>
        <w:rPr>
          <w:rFonts w:hint="eastAsia" w:ascii="宋体" w:hAnsi="宋体" w:cs="宋体" w:eastAsiaTheme="minorEastAsia"/>
          <w:b/>
          <w:bCs/>
          <w:snapToGrid w:val="0"/>
          <w:color w:val="000000"/>
          <w:kern w:val="0"/>
          <w:sz w:val="28"/>
          <w:szCs w:val="28"/>
          <w:highlight w:val="none"/>
          <w:lang w:val="en-US" w:eastAsia="zh-CN" w:bidi="ar-SA"/>
        </w:rPr>
      </w:pPr>
    </w:p>
    <w:p w14:paraId="6DA0BB92">
      <w:pPr>
        <w:pStyle w:val="3"/>
        <w:numPr>
          <w:ilvl w:val="1"/>
          <w:numId w:val="0"/>
        </w:numPr>
        <w:spacing w:line="360" w:lineRule="auto"/>
        <w:jc w:val="left"/>
        <w:rPr>
          <w:rFonts w:hint="eastAsia" w:ascii="宋体" w:hAnsi="宋体" w:cs="宋体"/>
          <w:color w:val="000000"/>
          <w:sz w:val="24"/>
          <w:highlight w:val="none"/>
        </w:rPr>
      </w:pPr>
      <w:r>
        <w:rPr>
          <w:rFonts w:hint="eastAsia" w:ascii="宋体" w:hAnsi="宋体" w:cs="宋体" w:eastAsiaTheme="minorEastAsia"/>
          <w:b/>
          <w:bCs/>
          <w:snapToGrid w:val="0"/>
          <w:color w:val="000000"/>
          <w:kern w:val="0"/>
          <w:sz w:val="28"/>
          <w:szCs w:val="28"/>
          <w:highlight w:val="none"/>
          <w:lang w:val="en-US" w:eastAsia="zh-CN" w:bidi="ar-SA"/>
        </w:rPr>
        <w:t>2.3、主要资格证明材料</w:t>
      </w:r>
      <w:bookmarkEnd w:id="3"/>
      <w:bookmarkEnd w:id="4"/>
      <w:bookmarkEnd w:id="5"/>
      <w:r>
        <w:rPr>
          <w:rFonts w:hint="eastAsia" w:ascii="宋体" w:hAnsi="宋体" w:cs="宋体" w:eastAsiaTheme="minorEastAsia"/>
          <w:b/>
          <w:bCs/>
          <w:snapToGrid w:val="0"/>
          <w:color w:val="000000"/>
          <w:kern w:val="0"/>
          <w:sz w:val="28"/>
          <w:szCs w:val="28"/>
          <w:highlight w:val="none"/>
          <w:lang w:val="en-US" w:eastAsia="zh-CN" w:bidi="ar-SA"/>
        </w:rPr>
        <w:t>：</w:t>
      </w:r>
    </w:p>
    <w:p w14:paraId="1040AD00">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商的营业执照或三证合一等证明材料复印件加盖公章，如不具备独立承担民事责任能力的分支机构</w:t>
      </w:r>
      <w:r>
        <w:rPr>
          <w:rFonts w:hint="eastAsia" w:hAnsi="宋体" w:cs="宋体"/>
          <w:color w:val="000000"/>
          <w:sz w:val="24"/>
          <w:highlight w:val="none"/>
          <w:lang w:val="en-US" w:eastAsia="zh-CN"/>
        </w:rPr>
        <w:t>响应</w:t>
      </w:r>
      <w:r>
        <w:rPr>
          <w:rFonts w:hint="eastAsia" w:hAnsi="宋体" w:cs="宋体"/>
          <w:color w:val="000000"/>
          <w:sz w:val="24"/>
          <w:highlight w:val="none"/>
        </w:rPr>
        <w:t>，另须提供具有法人资格的总公司的授权书及总公司营业执照复印件加盖公章；</w:t>
      </w:r>
    </w:p>
    <w:p w14:paraId="4A9CA86D">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2.</w:t>
      </w:r>
      <w:r>
        <w:rPr>
          <w:rFonts w:hint="eastAsia" w:hAnsi="宋体" w:cs="宋体"/>
          <w:color w:val="000000"/>
          <w:sz w:val="24"/>
          <w:highlight w:val="none"/>
        </w:rPr>
        <w:t>法定代表人身份证明书和法定代表人授权委托书（附身份证复印件）；</w:t>
      </w:r>
    </w:p>
    <w:p w14:paraId="13DECC8C">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3.</w:t>
      </w:r>
      <w:r>
        <w:rPr>
          <w:rFonts w:hint="eastAsia" w:hAnsi="宋体" w:cs="宋体"/>
          <w:color w:val="000000"/>
          <w:sz w:val="24"/>
          <w:highlight w:val="none"/>
        </w:rPr>
        <w:t>有依法缴纳税收和社会保障资金的良好记录：提供声明函（格式自定）</w:t>
      </w:r>
      <w:r>
        <w:rPr>
          <w:rFonts w:hint="eastAsia" w:hAnsi="宋体" w:cs="宋体"/>
          <w:color w:val="000000"/>
          <w:sz w:val="24"/>
          <w:highlight w:val="none"/>
          <w:lang w:val="en-US" w:eastAsia="zh-CN"/>
        </w:rPr>
        <w:t>；</w:t>
      </w:r>
    </w:p>
    <w:p w14:paraId="38500466">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4.履行合同所必需的设备和专业技术能力：提供声明函（格式自定）；</w:t>
      </w:r>
    </w:p>
    <w:p w14:paraId="3AD4AC71">
      <w:pPr>
        <w:pStyle w:val="10"/>
        <w:numPr>
          <w:ilvl w:val="0"/>
          <w:numId w:val="0"/>
        </w:numPr>
        <w:adjustRightInd w:val="0"/>
        <w:snapToGrid w:val="0"/>
        <w:spacing w:line="360" w:lineRule="auto"/>
        <w:ind w:left="420" w:leftChars="0" w:hanging="420" w:firstLineChars="0"/>
        <w:rPr>
          <w:rFonts w:hint="default" w:hAnsi="宋体" w:cs="宋体"/>
          <w:color w:val="000000"/>
          <w:sz w:val="24"/>
          <w:highlight w:val="none"/>
          <w:lang w:val="en-US" w:eastAsia="zh-CN"/>
        </w:rPr>
      </w:pPr>
      <w:r>
        <w:rPr>
          <w:rFonts w:hint="eastAsia" w:hAnsi="宋体" w:cs="宋体"/>
          <w:color w:val="000000"/>
          <w:sz w:val="24"/>
          <w:highlight w:val="none"/>
          <w:lang w:val="en-US" w:eastAsia="zh-CN"/>
        </w:rPr>
        <w:t>5.</w:t>
      </w:r>
      <w:r>
        <w:rPr>
          <w:rFonts w:hint="default" w:hAnsi="宋体" w:cs="宋体"/>
          <w:color w:val="000000"/>
          <w:sz w:val="24"/>
          <w:highlight w:val="none"/>
          <w:lang w:val="en-US" w:eastAsia="zh-CN"/>
        </w:rPr>
        <w:t>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4024F1DA">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hAnsi="宋体" w:cs="宋体"/>
          <w:color w:val="000000"/>
          <w:sz w:val="24"/>
          <w:highlight w:val="none"/>
          <w:lang w:val="en-US" w:eastAsia="zh-CN"/>
        </w:rPr>
        <w:t>6.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r>
        <w:rPr>
          <w:rFonts w:hint="eastAsia" w:hAnsi="宋体" w:cs="宋体"/>
          <w:color w:val="000000"/>
          <w:sz w:val="24"/>
          <w:highlight w:val="none"/>
        </w:rPr>
        <w:t>；</w:t>
      </w:r>
    </w:p>
    <w:p w14:paraId="326D56B6">
      <w:pPr>
        <w:pStyle w:val="10"/>
        <w:numPr>
          <w:ilvl w:val="0"/>
          <w:numId w:val="0"/>
        </w:numPr>
        <w:adjustRightInd w:val="0"/>
        <w:snapToGrid w:val="0"/>
        <w:spacing w:line="360" w:lineRule="auto"/>
        <w:ind w:left="420" w:leftChars="0" w:hanging="420" w:firstLineChars="0"/>
        <w:rPr>
          <w:rFonts w:hint="eastAsia" w:hAnsi="宋体" w:cs="宋体"/>
          <w:b w:val="0"/>
          <w:bCs w:val="0"/>
          <w:color w:val="000000"/>
          <w:sz w:val="24"/>
          <w:highlight w:val="none"/>
        </w:rPr>
      </w:pPr>
      <w:r>
        <w:rPr>
          <w:rFonts w:hint="eastAsia" w:hAnsi="宋体" w:eastAsia="宋体" w:cs="宋体"/>
          <w:b w:val="0"/>
          <w:bCs w:val="0"/>
          <w:color w:val="000000"/>
          <w:kern w:val="2"/>
          <w:sz w:val="24"/>
          <w:szCs w:val="24"/>
          <w:highlight w:val="none"/>
          <w:lang w:val="en-US" w:eastAsia="zh-CN" w:bidi="ar-SA"/>
        </w:rPr>
        <w:t>7</w:t>
      </w:r>
      <w:r>
        <w:rPr>
          <w:rFonts w:hint="eastAsia" w:ascii="宋体" w:hAnsi="宋体" w:eastAsia="宋体" w:cs="宋体"/>
          <w:b w:val="0"/>
          <w:bCs w:val="0"/>
          <w:color w:val="000000"/>
          <w:kern w:val="2"/>
          <w:sz w:val="24"/>
          <w:szCs w:val="24"/>
          <w:highlight w:val="none"/>
          <w:lang w:val="en-US" w:eastAsia="zh-CN" w:bidi="ar-SA"/>
        </w:rPr>
        <w:t>.单位负责人为同一人或者存在直接控股、管理关系的不同服务商,不得同时参加本采购项目响应。为本项目提供整体设计、规范编制或者项目管理、 监理、 检测等服务的服务商, 不得再参与本项目响应，提供《承诺函》</w:t>
      </w:r>
      <w:r>
        <w:rPr>
          <w:rFonts w:hint="eastAsia" w:hAnsi="宋体" w:cs="宋体"/>
          <w:b w:val="0"/>
          <w:bCs w:val="0"/>
          <w:color w:val="000000"/>
          <w:sz w:val="24"/>
          <w:highlight w:val="none"/>
        </w:rPr>
        <w:t>；</w:t>
      </w:r>
    </w:p>
    <w:p w14:paraId="57C3DB59">
      <w:pPr>
        <w:pStyle w:val="10"/>
        <w:numPr>
          <w:ilvl w:val="0"/>
          <w:numId w:val="0"/>
        </w:numPr>
        <w:adjustRightInd w:val="0"/>
        <w:snapToGrid w:val="0"/>
        <w:spacing w:line="360" w:lineRule="auto"/>
        <w:ind w:left="420" w:leftChars="0" w:hanging="420" w:firstLineChars="0"/>
        <w:rPr>
          <w:rFonts w:hint="eastAsia" w:hAnsi="宋体" w:eastAsia="宋体" w:cs="宋体"/>
          <w:b w:val="0"/>
          <w:bCs w:val="0"/>
          <w:color w:val="000000"/>
          <w:sz w:val="24"/>
          <w:highlight w:val="none"/>
          <w:lang w:eastAsia="zh-CN"/>
        </w:rPr>
      </w:pPr>
      <w:r>
        <w:rPr>
          <w:rFonts w:hint="eastAsia" w:hAnsi="宋体" w:eastAsia="宋体" w:cs="宋体"/>
          <w:b w:val="0"/>
          <w:bCs w:val="0"/>
          <w:color w:val="000000"/>
          <w:kern w:val="2"/>
          <w:sz w:val="24"/>
          <w:szCs w:val="24"/>
          <w:highlight w:val="none"/>
          <w:lang w:val="en-US" w:eastAsia="zh-CN" w:bidi="ar-SA"/>
        </w:rPr>
        <w:t>8</w:t>
      </w:r>
      <w:r>
        <w:rPr>
          <w:rFonts w:hint="eastAsia" w:ascii="宋体" w:hAnsi="宋体" w:eastAsia="宋体" w:cs="宋体"/>
          <w:b w:val="0"/>
          <w:bCs w:val="0"/>
          <w:color w:val="000000"/>
          <w:kern w:val="2"/>
          <w:sz w:val="24"/>
          <w:szCs w:val="24"/>
          <w:highlight w:val="none"/>
          <w:lang w:val="en-US" w:eastAsia="zh-CN" w:bidi="ar-SA"/>
        </w:rPr>
        <w:t>.已通过广东电力交易中心注册且具备交易资格的售电公司(</w:t>
      </w:r>
      <w:r>
        <w:rPr>
          <w:rFonts w:hint="eastAsia" w:hAnsi="宋体" w:eastAsia="宋体" w:cs="宋体"/>
          <w:b w:val="0"/>
          <w:bCs w:val="0"/>
          <w:color w:val="000000"/>
          <w:kern w:val="2"/>
          <w:sz w:val="24"/>
          <w:szCs w:val="24"/>
          <w:highlight w:val="none"/>
          <w:lang w:val="en-US" w:eastAsia="zh-CN" w:bidi="ar-SA"/>
        </w:rPr>
        <w:t>响应</w:t>
      </w:r>
      <w:r>
        <w:rPr>
          <w:rFonts w:hint="eastAsia" w:ascii="宋体" w:hAnsi="宋体" w:eastAsia="宋体" w:cs="宋体"/>
          <w:b w:val="0"/>
          <w:bCs w:val="0"/>
          <w:color w:val="000000"/>
          <w:kern w:val="2"/>
          <w:sz w:val="24"/>
          <w:szCs w:val="24"/>
          <w:highlight w:val="none"/>
          <w:lang w:val="en-US" w:eastAsia="zh-CN" w:bidi="ar-SA"/>
        </w:rPr>
        <w:t>文件须提供有效证明文件及售电牌照编码,证明文件上已显示售电牌照编码的,可不单独提供售电牌照编码)（提供证明</w:t>
      </w:r>
      <w:r>
        <w:rPr>
          <w:rFonts w:hint="eastAsia" w:hAnsi="宋体" w:eastAsia="宋体" w:cs="宋体"/>
          <w:b w:val="0"/>
          <w:bCs w:val="0"/>
          <w:color w:val="000000"/>
          <w:kern w:val="2"/>
          <w:sz w:val="24"/>
          <w:szCs w:val="24"/>
          <w:highlight w:val="none"/>
          <w:lang w:val="en-US" w:eastAsia="zh-CN" w:bidi="ar-SA"/>
        </w:rPr>
        <w:t>文件</w:t>
      </w:r>
      <w:r>
        <w:rPr>
          <w:rFonts w:hint="eastAsia" w:ascii="宋体" w:hAnsi="宋体" w:eastAsia="宋体" w:cs="宋体"/>
          <w:b w:val="0"/>
          <w:bCs w:val="0"/>
          <w:color w:val="000000"/>
          <w:kern w:val="2"/>
          <w:sz w:val="24"/>
          <w:szCs w:val="24"/>
          <w:highlight w:val="none"/>
          <w:lang w:val="en-US" w:eastAsia="zh-CN" w:bidi="ar-SA"/>
        </w:rPr>
        <w:t>）</w:t>
      </w:r>
      <w:r>
        <w:rPr>
          <w:rFonts w:hint="eastAsia" w:hAnsi="宋体" w:eastAsia="宋体" w:cs="宋体"/>
          <w:b w:val="0"/>
          <w:bCs w:val="0"/>
          <w:color w:val="000000"/>
          <w:sz w:val="24"/>
          <w:highlight w:val="none"/>
          <w:lang w:eastAsia="zh-CN"/>
        </w:rPr>
        <w:t>。</w:t>
      </w:r>
    </w:p>
    <w:p w14:paraId="73C0665B">
      <w:pPr>
        <w:pStyle w:val="10"/>
        <w:adjustRightInd w:val="0"/>
        <w:snapToGrid w:val="0"/>
        <w:spacing w:line="360" w:lineRule="auto"/>
        <w:rPr>
          <w:rFonts w:hint="eastAsia" w:hAnsi="宋体" w:cs="宋体"/>
          <w:b/>
          <w:bCs/>
          <w:color w:val="000000"/>
          <w:sz w:val="28"/>
          <w:szCs w:val="28"/>
          <w:highlight w:val="none"/>
        </w:rPr>
      </w:pPr>
    </w:p>
    <w:p w14:paraId="015FD492">
      <w:pPr>
        <w:pStyle w:val="10"/>
        <w:adjustRightInd w:val="0"/>
        <w:snapToGrid w:val="0"/>
        <w:spacing w:line="360" w:lineRule="auto"/>
        <w:rPr>
          <w:rFonts w:hint="eastAsia" w:hAnsi="宋体" w:cs="宋体"/>
          <w:b/>
          <w:bCs/>
          <w:color w:val="000000"/>
          <w:sz w:val="28"/>
          <w:szCs w:val="28"/>
          <w:highlight w:val="none"/>
        </w:rPr>
      </w:pPr>
    </w:p>
    <w:p w14:paraId="39CA41EF">
      <w:pPr>
        <w:pStyle w:val="10"/>
        <w:adjustRightInd w:val="0"/>
        <w:snapToGrid w:val="0"/>
        <w:spacing w:line="360" w:lineRule="auto"/>
        <w:rPr>
          <w:rFonts w:hint="eastAsia" w:hAnsi="宋体" w:cs="宋体"/>
          <w:bCs/>
          <w:snapToGrid w:val="0"/>
          <w:color w:val="000000"/>
          <w:kern w:val="0"/>
          <w:sz w:val="24"/>
          <w:highlight w:val="none"/>
        </w:rPr>
      </w:pPr>
      <w:r>
        <w:rPr>
          <w:rFonts w:hint="eastAsia" w:hAnsi="宋体" w:cs="宋体"/>
          <w:b/>
          <w:bCs/>
          <w:color w:val="000000"/>
          <w:sz w:val="28"/>
          <w:szCs w:val="28"/>
          <w:highlight w:val="none"/>
        </w:rPr>
        <w:t>响应</w:t>
      </w:r>
      <w:r>
        <w:rPr>
          <w:rFonts w:hint="eastAsia" w:hAnsi="宋体" w:cs="宋体"/>
          <w:b/>
          <w:bCs/>
          <w:color w:val="000000"/>
          <w:sz w:val="28"/>
          <w:szCs w:val="28"/>
          <w:highlight w:val="none"/>
          <w:lang w:eastAsia="zh-CN"/>
        </w:rPr>
        <w:t>服务</w:t>
      </w:r>
      <w:r>
        <w:rPr>
          <w:rFonts w:hint="eastAsia" w:hAnsi="宋体" w:cs="宋体"/>
          <w:b/>
          <w:bCs/>
          <w:color w:val="000000"/>
          <w:sz w:val="28"/>
          <w:szCs w:val="28"/>
          <w:highlight w:val="none"/>
        </w:rPr>
        <w:t>商认为有必要提供的其他资格证明材料</w:t>
      </w:r>
    </w:p>
    <w:p w14:paraId="0C20392C">
      <w:pPr>
        <w:adjustRightInd w:val="0"/>
        <w:snapToGrid w:val="0"/>
        <w:spacing w:line="360" w:lineRule="auto"/>
        <w:rPr>
          <w:rFonts w:hint="eastAsia" w:ascii="宋体" w:hAnsi="宋体" w:cs="宋体"/>
          <w:color w:val="000000"/>
          <w:sz w:val="24"/>
          <w:highlight w:val="none"/>
        </w:rPr>
      </w:pPr>
      <w:r>
        <w:rPr>
          <w:rFonts w:hint="eastAsia" w:ascii="宋体" w:hAnsi="宋体" w:cs="宋体"/>
          <w:bCs/>
          <w:snapToGrid w:val="0"/>
          <w:color w:val="000000"/>
          <w:kern w:val="0"/>
          <w:sz w:val="24"/>
          <w:highlight w:val="none"/>
        </w:rPr>
        <w:t>说明：各响应</w:t>
      </w:r>
      <w:r>
        <w:rPr>
          <w:rFonts w:hint="eastAsia" w:ascii="宋体" w:hAnsi="宋体" w:cs="宋体"/>
          <w:bCs/>
          <w:snapToGrid w:val="0"/>
          <w:color w:val="000000"/>
          <w:kern w:val="0"/>
          <w:sz w:val="24"/>
          <w:highlight w:val="none"/>
          <w:lang w:eastAsia="zh-CN"/>
        </w:rPr>
        <w:t>服务</w:t>
      </w:r>
      <w:r>
        <w:rPr>
          <w:rFonts w:hint="eastAsia" w:ascii="宋体" w:hAnsi="宋体" w:cs="宋体"/>
          <w:bCs/>
          <w:snapToGrid w:val="0"/>
          <w:color w:val="000000"/>
          <w:kern w:val="0"/>
          <w:sz w:val="24"/>
          <w:highlight w:val="none"/>
        </w:rPr>
        <w:t>商应按以上各项（包括但不限于）的内容。</w:t>
      </w:r>
    </w:p>
    <w:p w14:paraId="17A50167">
      <w:pPr>
        <w:adjustRightInd w:val="0"/>
        <w:snapToGrid w:val="0"/>
        <w:spacing w:line="360" w:lineRule="auto"/>
        <w:rPr>
          <w:rFonts w:hint="eastAsia" w:ascii="宋体" w:hAnsi="宋体" w:cs="宋体"/>
          <w:color w:val="000000"/>
          <w:sz w:val="24"/>
          <w:highlight w:val="none"/>
        </w:rPr>
      </w:pPr>
    </w:p>
    <w:p w14:paraId="4BD4C3BF">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服务商</w:t>
      </w:r>
      <w:r>
        <w:rPr>
          <w:rFonts w:hint="eastAsia" w:ascii="宋体" w:hAnsi="宋体" w:cs="宋体"/>
          <w:color w:val="000000"/>
          <w:sz w:val="24"/>
          <w:highlight w:val="none"/>
        </w:rPr>
        <w:t xml:space="preserve">名称（公章）： </w:t>
      </w:r>
    </w:p>
    <w:p w14:paraId="6B3C0491">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53EBC15">
      <w:pPr>
        <w:spacing w:line="360" w:lineRule="auto"/>
        <w:ind w:firstLine="4320" w:firstLineChars="1800"/>
        <w:rPr>
          <w:rFonts w:hint="eastAsia" w:ascii="宋体" w:hAnsi="宋体" w:cs="宋体"/>
          <w:b/>
          <w:bCs/>
          <w:snapToGrid w:val="0"/>
          <w:color w:val="000000"/>
          <w:kern w:val="0"/>
          <w:sz w:val="28"/>
          <w:szCs w:val="28"/>
          <w:highlight w:val="none"/>
        </w:rPr>
      </w:pPr>
      <w:r>
        <w:rPr>
          <w:rFonts w:hint="eastAsia" w:ascii="宋体" w:hAnsi="宋体" w:cs="宋体"/>
          <w:color w:val="000000"/>
          <w:sz w:val="24"/>
          <w:highlight w:val="none"/>
        </w:rPr>
        <w:t>日  期：</w:t>
      </w:r>
    </w:p>
    <w:p w14:paraId="26313FD9">
      <w:pPr>
        <w:adjustRightInd w:val="0"/>
        <w:snapToGrid w:val="0"/>
        <w:spacing w:line="360" w:lineRule="auto"/>
        <w:rPr>
          <w:rFonts w:hint="eastAsia" w:ascii="宋体" w:hAnsi="宋体" w:cs="宋体"/>
          <w:b/>
          <w:color w:val="000000"/>
          <w:sz w:val="28"/>
          <w:szCs w:val="28"/>
          <w:highlight w:val="none"/>
        </w:rPr>
      </w:pPr>
      <w:r>
        <w:rPr>
          <w:rFonts w:hint="eastAsia" w:ascii="宋体" w:hAnsi="宋体" w:cs="宋体"/>
          <w:b/>
          <w:bCs/>
          <w:snapToGrid w:val="0"/>
          <w:color w:val="000000"/>
          <w:kern w:val="0"/>
          <w:sz w:val="28"/>
          <w:szCs w:val="28"/>
          <w:highlight w:val="none"/>
        </w:rPr>
        <w:br w:type="page"/>
      </w:r>
      <w:r>
        <w:rPr>
          <w:rFonts w:hint="eastAsia" w:ascii="宋体" w:hAnsi="宋体" w:cs="宋体"/>
          <w:b/>
          <w:bCs/>
          <w:snapToGrid w:val="0"/>
          <w:color w:val="000000"/>
          <w:kern w:val="0"/>
          <w:sz w:val="28"/>
          <w:szCs w:val="28"/>
          <w:highlight w:val="none"/>
        </w:rPr>
        <w:t>2.3.1、</w:t>
      </w:r>
      <w:r>
        <w:rPr>
          <w:rFonts w:hint="eastAsia" w:ascii="宋体" w:hAnsi="宋体" w:cs="宋体"/>
          <w:b/>
          <w:bCs/>
          <w:color w:val="000000"/>
          <w:sz w:val="28"/>
          <w:szCs w:val="28"/>
          <w:highlight w:val="none"/>
        </w:rPr>
        <w:t>提供</w:t>
      </w:r>
      <w:r>
        <w:rPr>
          <w:rFonts w:hint="eastAsia" w:ascii="宋体" w:hAnsi="宋体" w:cs="宋体"/>
          <w:b/>
          <w:color w:val="000000"/>
          <w:sz w:val="28"/>
          <w:szCs w:val="28"/>
          <w:highlight w:val="none"/>
        </w:rPr>
        <w:t>营业执照或三证合一等证明材料复印件加盖公章，如不具备独立承担民事责任能力的分支机构</w:t>
      </w:r>
      <w:r>
        <w:rPr>
          <w:rFonts w:hint="eastAsia" w:ascii="宋体" w:hAnsi="宋体" w:cs="宋体"/>
          <w:b/>
          <w:color w:val="000000"/>
          <w:sz w:val="28"/>
          <w:szCs w:val="28"/>
          <w:highlight w:val="none"/>
          <w:lang w:val="en-US" w:eastAsia="zh-CN"/>
        </w:rPr>
        <w:t>响应</w:t>
      </w:r>
      <w:r>
        <w:rPr>
          <w:rFonts w:hint="eastAsia" w:ascii="宋体" w:hAnsi="宋体" w:cs="宋体"/>
          <w:b/>
          <w:color w:val="000000"/>
          <w:sz w:val="28"/>
          <w:szCs w:val="28"/>
          <w:highlight w:val="none"/>
        </w:rPr>
        <w:t>，另须提供具有法人资格的总公司的授权书及总公司营业执照复印件加盖公章。</w:t>
      </w:r>
    </w:p>
    <w:p w14:paraId="2320CA14">
      <w:pPr>
        <w:pStyle w:val="10"/>
        <w:adjustRightInd w:val="0"/>
        <w:snapToGrid w:val="0"/>
        <w:spacing w:line="360" w:lineRule="auto"/>
        <w:rPr>
          <w:rFonts w:hint="eastAsia" w:hAnsi="宋体" w:cs="宋体"/>
          <w:b/>
          <w:bCs/>
          <w:snapToGrid w:val="0"/>
          <w:color w:val="000000"/>
          <w:kern w:val="0"/>
          <w:szCs w:val="28"/>
          <w:highlight w:val="none"/>
        </w:rPr>
      </w:pPr>
    </w:p>
    <w:p w14:paraId="232AA05C">
      <w:pPr>
        <w:spacing w:line="360" w:lineRule="auto"/>
        <w:rPr>
          <w:rFonts w:hint="eastAsia" w:ascii="宋体" w:hAnsi="宋体" w:cs="宋体"/>
          <w:color w:val="000000"/>
          <w:highlight w:val="none"/>
        </w:rPr>
      </w:pPr>
    </w:p>
    <w:p w14:paraId="51E8FD5B">
      <w:pPr>
        <w:spacing w:line="360" w:lineRule="auto"/>
        <w:rPr>
          <w:rFonts w:hint="eastAsia" w:ascii="宋体" w:hAnsi="宋体" w:cs="宋体"/>
          <w:color w:val="000000"/>
          <w:highlight w:val="none"/>
        </w:rPr>
      </w:pPr>
    </w:p>
    <w:p w14:paraId="3123F799">
      <w:pPr>
        <w:spacing w:line="360" w:lineRule="auto"/>
        <w:rPr>
          <w:rFonts w:hint="eastAsia" w:ascii="宋体" w:hAnsi="宋体" w:cs="宋体"/>
          <w:color w:val="000000"/>
          <w:highlight w:val="none"/>
        </w:rPr>
      </w:pPr>
    </w:p>
    <w:p w14:paraId="431BEE31">
      <w:pPr>
        <w:spacing w:line="360" w:lineRule="auto"/>
        <w:rPr>
          <w:rFonts w:hint="eastAsia" w:ascii="宋体" w:hAnsi="宋体" w:cs="宋体"/>
          <w:color w:val="000000"/>
          <w:highlight w:val="none"/>
        </w:rPr>
      </w:pPr>
    </w:p>
    <w:p w14:paraId="1FFC2816">
      <w:pPr>
        <w:spacing w:line="360" w:lineRule="auto"/>
        <w:rPr>
          <w:rFonts w:hint="eastAsia" w:ascii="宋体" w:hAnsi="宋体" w:cs="宋体"/>
          <w:color w:val="000000"/>
          <w:highlight w:val="none"/>
        </w:rPr>
      </w:pPr>
    </w:p>
    <w:p w14:paraId="1E7D5EDA">
      <w:pPr>
        <w:spacing w:line="360" w:lineRule="auto"/>
        <w:rPr>
          <w:rFonts w:hint="eastAsia" w:ascii="宋体" w:hAnsi="宋体" w:cs="宋体"/>
          <w:color w:val="000000"/>
          <w:highlight w:val="none"/>
        </w:rPr>
      </w:pPr>
    </w:p>
    <w:p w14:paraId="17A24067">
      <w:pPr>
        <w:spacing w:line="360" w:lineRule="auto"/>
        <w:rPr>
          <w:rFonts w:hint="eastAsia" w:ascii="宋体" w:hAnsi="宋体" w:cs="宋体"/>
          <w:color w:val="000000"/>
          <w:highlight w:val="none"/>
        </w:rPr>
      </w:pPr>
    </w:p>
    <w:p w14:paraId="64DC9E91">
      <w:pPr>
        <w:spacing w:line="360" w:lineRule="auto"/>
        <w:rPr>
          <w:rFonts w:hint="eastAsia" w:ascii="宋体" w:hAnsi="宋体" w:cs="宋体"/>
          <w:color w:val="000000"/>
          <w:highlight w:val="none"/>
        </w:rPr>
      </w:pPr>
    </w:p>
    <w:p w14:paraId="53B0F945">
      <w:pPr>
        <w:spacing w:line="360" w:lineRule="auto"/>
        <w:rPr>
          <w:rFonts w:hint="eastAsia" w:ascii="宋体" w:hAnsi="宋体" w:cs="宋体"/>
          <w:color w:val="000000"/>
          <w:highlight w:val="none"/>
        </w:rPr>
      </w:pPr>
    </w:p>
    <w:p w14:paraId="7850FB9C">
      <w:pPr>
        <w:spacing w:line="360" w:lineRule="auto"/>
        <w:rPr>
          <w:rFonts w:hint="eastAsia" w:ascii="宋体" w:hAnsi="宋体" w:cs="宋体"/>
          <w:color w:val="000000"/>
          <w:highlight w:val="none"/>
        </w:rPr>
      </w:pPr>
    </w:p>
    <w:p w14:paraId="1C1C9FD6">
      <w:pPr>
        <w:spacing w:line="360" w:lineRule="auto"/>
        <w:rPr>
          <w:rFonts w:hint="eastAsia" w:ascii="宋体" w:hAnsi="宋体" w:cs="宋体"/>
          <w:color w:val="000000"/>
          <w:highlight w:val="none"/>
        </w:rPr>
      </w:pPr>
    </w:p>
    <w:p w14:paraId="7DD18F62">
      <w:pPr>
        <w:spacing w:line="360" w:lineRule="auto"/>
        <w:rPr>
          <w:rFonts w:hint="eastAsia" w:ascii="宋体" w:hAnsi="宋体" w:cs="宋体"/>
          <w:color w:val="000000"/>
          <w:highlight w:val="none"/>
        </w:rPr>
      </w:pPr>
    </w:p>
    <w:p w14:paraId="11C135DE">
      <w:pPr>
        <w:spacing w:line="360" w:lineRule="auto"/>
        <w:rPr>
          <w:rFonts w:hint="eastAsia" w:ascii="宋体" w:hAnsi="宋体" w:cs="宋体"/>
          <w:color w:val="000000"/>
          <w:highlight w:val="none"/>
        </w:rPr>
      </w:pPr>
    </w:p>
    <w:p w14:paraId="2F9C2ED9">
      <w:pPr>
        <w:spacing w:line="360" w:lineRule="auto"/>
        <w:rPr>
          <w:rFonts w:hint="eastAsia" w:ascii="宋体" w:hAnsi="宋体" w:cs="宋体"/>
          <w:color w:val="000000"/>
          <w:highlight w:val="none"/>
        </w:rPr>
      </w:pPr>
    </w:p>
    <w:p w14:paraId="7DD9147A">
      <w:pPr>
        <w:spacing w:line="360" w:lineRule="auto"/>
        <w:rPr>
          <w:rFonts w:hint="eastAsia" w:ascii="宋体" w:hAnsi="宋体" w:cs="宋体"/>
          <w:color w:val="000000"/>
          <w:highlight w:val="none"/>
        </w:rPr>
      </w:pPr>
    </w:p>
    <w:p w14:paraId="744C363D">
      <w:pPr>
        <w:spacing w:line="360" w:lineRule="auto"/>
        <w:rPr>
          <w:rFonts w:hint="eastAsia" w:ascii="宋体" w:hAnsi="宋体" w:cs="宋体"/>
          <w:color w:val="000000"/>
          <w:highlight w:val="none"/>
        </w:rPr>
      </w:pPr>
    </w:p>
    <w:p w14:paraId="1736164C">
      <w:pPr>
        <w:spacing w:line="360" w:lineRule="auto"/>
        <w:rPr>
          <w:rFonts w:hint="eastAsia" w:ascii="宋体" w:hAnsi="宋体" w:cs="宋体"/>
          <w:color w:val="000000"/>
          <w:highlight w:val="none"/>
        </w:rPr>
      </w:pPr>
    </w:p>
    <w:p w14:paraId="1BD193B7">
      <w:pPr>
        <w:spacing w:line="360" w:lineRule="auto"/>
        <w:rPr>
          <w:rFonts w:hint="eastAsia" w:ascii="宋体" w:hAnsi="宋体" w:cs="宋体"/>
          <w:color w:val="000000"/>
          <w:highlight w:val="none"/>
        </w:rPr>
      </w:pPr>
    </w:p>
    <w:p w14:paraId="66D59001">
      <w:pPr>
        <w:spacing w:line="360" w:lineRule="auto"/>
        <w:rPr>
          <w:rFonts w:hint="eastAsia" w:ascii="宋体" w:hAnsi="宋体" w:cs="宋体"/>
          <w:color w:val="000000"/>
          <w:highlight w:val="none"/>
        </w:rPr>
      </w:pPr>
    </w:p>
    <w:p w14:paraId="28323A12">
      <w:pPr>
        <w:spacing w:line="360" w:lineRule="auto"/>
        <w:rPr>
          <w:rFonts w:hint="eastAsia" w:ascii="宋体" w:hAnsi="宋体" w:cs="宋体"/>
          <w:color w:val="000000"/>
          <w:highlight w:val="none"/>
        </w:rPr>
      </w:pPr>
    </w:p>
    <w:p w14:paraId="671FE8EB">
      <w:pPr>
        <w:spacing w:line="360" w:lineRule="auto"/>
        <w:rPr>
          <w:rFonts w:hint="eastAsia" w:ascii="宋体" w:hAnsi="宋体" w:cs="宋体"/>
          <w:color w:val="000000"/>
          <w:highlight w:val="none"/>
        </w:rPr>
      </w:pPr>
    </w:p>
    <w:p w14:paraId="2BDDE949">
      <w:pPr>
        <w:spacing w:line="360" w:lineRule="auto"/>
        <w:rPr>
          <w:rFonts w:hint="eastAsia" w:ascii="宋体" w:hAnsi="宋体" w:cs="宋体"/>
          <w:color w:val="000000"/>
          <w:highlight w:val="none"/>
        </w:rPr>
      </w:pPr>
    </w:p>
    <w:p w14:paraId="3F51444F">
      <w:pPr>
        <w:spacing w:line="360" w:lineRule="auto"/>
        <w:rPr>
          <w:rFonts w:hint="eastAsia" w:ascii="宋体" w:hAnsi="宋体" w:cs="宋体"/>
          <w:color w:val="000000"/>
          <w:highlight w:val="none"/>
        </w:rPr>
      </w:pPr>
    </w:p>
    <w:p w14:paraId="62A2B08C">
      <w:pPr>
        <w:spacing w:line="360" w:lineRule="auto"/>
        <w:rPr>
          <w:rFonts w:hint="eastAsia" w:ascii="宋体" w:hAnsi="宋体" w:cs="宋体"/>
          <w:color w:val="000000"/>
          <w:highlight w:val="none"/>
        </w:rPr>
      </w:pPr>
    </w:p>
    <w:p w14:paraId="00BD9AC0">
      <w:pPr>
        <w:pStyle w:val="10"/>
        <w:adjustRightInd w:val="0"/>
        <w:snapToGrid w:val="0"/>
        <w:spacing w:line="360" w:lineRule="auto"/>
        <w:rPr>
          <w:rFonts w:hint="eastAsia" w:hAnsi="宋体" w:cs="宋体"/>
          <w:b/>
          <w:snapToGrid w:val="0"/>
          <w:color w:val="000000"/>
          <w:kern w:val="0"/>
          <w:sz w:val="28"/>
          <w:szCs w:val="28"/>
          <w:highlight w:val="none"/>
        </w:rPr>
      </w:pPr>
      <w:r>
        <w:rPr>
          <w:rFonts w:hint="eastAsia" w:hAnsi="宋体" w:cs="宋体"/>
          <w:b/>
          <w:bCs/>
          <w:snapToGrid w:val="0"/>
          <w:color w:val="000000"/>
          <w:kern w:val="0"/>
          <w:sz w:val="28"/>
          <w:szCs w:val="28"/>
          <w:highlight w:val="none"/>
        </w:rPr>
        <w:br w:type="page"/>
      </w:r>
      <w:r>
        <w:rPr>
          <w:rFonts w:hint="eastAsia" w:hAnsi="宋体" w:cs="宋体"/>
          <w:b/>
          <w:bCs/>
          <w:snapToGrid w:val="0"/>
          <w:color w:val="000000"/>
          <w:kern w:val="0"/>
          <w:sz w:val="28"/>
          <w:szCs w:val="28"/>
          <w:highlight w:val="none"/>
        </w:rPr>
        <w:t>2.3.2、</w:t>
      </w:r>
      <w:r>
        <w:rPr>
          <w:rFonts w:hint="eastAsia" w:hAnsi="宋体" w:cs="宋体"/>
          <w:b/>
          <w:snapToGrid w:val="0"/>
          <w:color w:val="000000"/>
          <w:kern w:val="0"/>
          <w:sz w:val="28"/>
          <w:szCs w:val="28"/>
          <w:highlight w:val="none"/>
        </w:rPr>
        <w:t>法定代表人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身份证明书和</w:t>
      </w:r>
      <w:r>
        <w:rPr>
          <w:rFonts w:hint="eastAsia" w:hAnsi="宋体" w:cs="宋体"/>
          <w:b/>
          <w:color w:val="000000"/>
          <w:sz w:val="28"/>
          <w:szCs w:val="28"/>
          <w:highlight w:val="none"/>
        </w:rPr>
        <w:t>法</w:t>
      </w:r>
      <w:r>
        <w:rPr>
          <w:rFonts w:hint="eastAsia" w:hAnsi="宋体" w:cs="宋体"/>
          <w:b/>
          <w:snapToGrid w:val="0"/>
          <w:color w:val="000000"/>
          <w:kern w:val="0"/>
          <w:sz w:val="28"/>
          <w:szCs w:val="28"/>
          <w:highlight w:val="none"/>
        </w:rPr>
        <w:t>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授权委托书格式。</w:t>
      </w:r>
    </w:p>
    <w:p w14:paraId="7FC4D3EA">
      <w:p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（1）法定代表人身份证明书</w:t>
      </w:r>
    </w:p>
    <w:p w14:paraId="2D383515">
      <w:pPr>
        <w:spacing w:line="360" w:lineRule="auto"/>
        <w:rPr>
          <w:rFonts w:hint="eastAsia" w:ascii="宋体" w:hAnsi="宋体" w:cs="宋体"/>
          <w:bCs/>
          <w:color w:val="000000"/>
          <w:sz w:val="24"/>
          <w:highlight w:val="none"/>
        </w:rPr>
      </w:pPr>
    </w:p>
    <w:p w14:paraId="422F0A5F">
      <w:pPr>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w:t>
      </w:r>
      <w:r>
        <w:rPr>
          <w:rFonts w:hint="eastAsia" w:ascii="宋体" w:hAnsi="宋体" w:cs="宋体"/>
          <w:b/>
          <w:bCs/>
          <w:color w:val="000000"/>
          <w:sz w:val="28"/>
          <w:highlight w:val="none"/>
        </w:rPr>
        <w:t>/负责人</w:t>
      </w:r>
      <w:r>
        <w:rPr>
          <w:rFonts w:hint="eastAsia" w:ascii="宋体" w:hAnsi="宋体" w:cs="宋体"/>
          <w:b/>
          <w:bCs/>
          <w:color w:val="000000"/>
          <w:sz w:val="28"/>
          <w:szCs w:val="28"/>
          <w:highlight w:val="none"/>
        </w:rPr>
        <w:t>身份证明书</w:t>
      </w:r>
    </w:p>
    <w:p w14:paraId="4C031552">
      <w:pPr>
        <w:spacing w:line="360" w:lineRule="auto"/>
        <w:jc w:val="center"/>
        <w:rPr>
          <w:rFonts w:hint="eastAsia" w:ascii="宋体" w:hAnsi="宋体" w:cs="宋体"/>
          <w:b/>
          <w:bCs/>
          <w:color w:val="000000"/>
          <w:sz w:val="28"/>
          <w:szCs w:val="28"/>
          <w:highlight w:val="none"/>
        </w:rPr>
      </w:pPr>
    </w:p>
    <w:p w14:paraId="2C093233">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w:t>
      </w:r>
      <w:r>
        <w:rPr>
          <w:rFonts w:hint="eastAsia" w:ascii="宋体" w:hAnsi="宋体" w:cs="宋体"/>
          <w:bCs/>
          <w:color w:val="000000"/>
          <w:spacing w:val="8"/>
          <w:sz w:val="24"/>
          <w:highlight w:val="none"/>
          <w:lang w:eastAsia="zh-CN"/>
        </w:rPr>
        <w:t>河源市人民医院</w:t>
      </w:r>
    </w:p>
    <w:p w14:paraId="5658642A">
      <w:pPr>
        <w:pStyle w:val="24"/>
        <w:spacing w:line="360" w:lineRule="auto"/>
        <w:ind w:firstLine="527"/>
        <w:rPr>
          <w:rFonts w:hint="eastAsia" w:ascii="宋体" w:eastAsia="宋体" w:cs="宋体"/>
          <w:bCs/>
          <w:color w:val="000000"/>
          <w:spacing w:val="8"/>
          <w:sz w:val="24"/>
          <w:szCs w:val="24"/>
          <w:highlight w:val="none"/>
        </w:rPr>
      </w:pPr>
      <w:r>
        <w:rPr>
          <w:rFonts w:hint="eastAsia" w:ascii="宋体" w:eastAsia="宋体" w:cs="宋体"/>
          <w:bCs/>
          <w:color w:val="000000"/>
          <w:spacing w:val="8"/>
          <w:sz w:val="24"/>
          <w:szCs w:val="24"/>
          <w:highlight w:val="none"/>
        </w:rPr>
        <w:t>本证明书声明：注册于</w:t>
      </w:r>
      <w:r>
        <w:rPr>
          <w:rFonts w:hint="eastAsia" w:ascii="宋体" w:eastAsia="宋体" w:cs="宋体"/>
          <w:bCs/>
          <w:color w:val="000000"/>
          <w:spacing w:val="8"/>
          <w:sz w:val="24"/>
          <w:szCs w:val="24"/>
          <w:highlight w:val="none"/>
          <w:u w:val="single"/>
        </w:rPr>
        <w:t xml:space="preserve">（国家名称） </w:t>
      </w:r>
      <w:r>
        <w:rPr>
          <w:rFonts w:hint="eastAsia" w:ascii="宋体" w:eastAsia="宋体" w:cs="宋体"/>
          <w:bCs/>
          <w:color w:val="000000"/>
          <w:spacing w:val="8"/>
          <w:sz w:val="24"/>
          <w:szCs w:val="24"/>
          <w:highlight w:val="none"/>
        </w:rPr>
        <w:t>的</w:t>
      </w:r>
      <w:r>
        <w:rPr>
          <w:rFonts w:hint="eastAsia" w:ascii="宋体" w:eastAsia="宋体" w:cs="宋体"/>
          <w:bCs/>
          <w:color w:val="000000"/>
          <w:spacing w:val="8"/>
          <w:sz w:val="24"/>
          <w:szCs w:val="24"/>
          <w:highlight w:val="none"/>
          <w:u w:val="single"/>
        </w:rPr>
        <w:t>（响应</w:t>
      </w:r>
      <w:r>
        <w:rPr>
          <w:rFonts w:hint="eastAsia" w:ascii="宋体" w:eastAsia="宋体" w:cs="宋体"/>
          <w:bCs/>
          <w:color w:val="000000"/>
          <w:spacing w:val="8"/>
          <w:sz w:val="24"/>
          <w:szCs w:val="24"/>
          <w:highlight w:val="none"/>
          <w:u w:val="single"/>
          <w:lang w:eastAsia="zh-CN"/>
        </w:rPr>
        <w:t>服务</w:t>
      </w:r>
      <w:r>
        <w:rPr>
          <w:rFonts w:hint="eastAsia" w:ascii="宋体" w:eastAsia="宋体" w:cs="宋体"/>
          <w:bCs/>
          <w:color w:val="000000"/>
          <w:spacing w:val="8"/>
          <w:sz w:val="24"/>
          <w:szCs w:val="24"/>
          <w:highlight w:val="none"/>
          <w:u w:val="single"/>
        </w:rPr>
        <w:t xml:space="preserve">商名称） </w:t>
      </w:r>
      <w:r>
        <w:rPr>
          <w:rFonts w:hint="eastAsia" w:ascii="宋体" w:eastAsia="宋体" w:cs="宋体"/>
          <w:bCs/>
          <w:color w:val="000000"/>
          <w:spacing w:val="8"/>
          <w:sz w:val="24"/>
          <w:szCs w:val="24"/>
          <w:highlight w:val="none"/>
        </w:rPr>
        <w:t>在下面签字的</w:t>
      </w:r>
      <w:r>
        <w:rPr>
          <w:rFonts w:hint="eastAsia" w:ascii="宋体" w:eastAsia="宋体" w:cs="宋体"/>
          <w:bCs/>
          <w:color w:val="000000"/>
          <w:spacing w:val="8"/>
          <w:sz w:val="24"/>
          <w:szCs w:val="24"/>
          <w:highlight w:val="none"/>
          <w:u w:val="single"/>
        </w:rPr>
        <w:t xml:space="preserve">　　　　　（法定代表人姓名、职务） </w:t>
      </w:r>
      <w:r>
        <w:rPr>
          <w:rFonts w:hint="eastAsia" w:ascii="宋体" w:eastAsia="宋体" w:cs="宋体"/>
          <w:bCs/>
          <w:color w:val="000000"/>
          <w:spacing w:val="8"/>
          <w:sz w:val="24"/>
          <w:szCs w:val="24"/>
          <w:highlight w:val="none"/>
        </w:rPr>
        <w:t>为本公司的合法代表人。</w:t>
      </w:r>
    </w:p>
    <w:p w14:paraId="2B10F61C">
      <w:pPr>
        <w:spacing w:line="360" w:lineRule="auto"/>
        <w:ind w:firstLine="384" w:firstLineChars="150"/>
        <w:rPr>
          <w:rFonts w:hint="eastAsia" w:ascii="宋体" w:hAnsi="宋体" w:cs="宋体"/>
          <w:bCs/>
          <w:color w:val="000000"/>
          <w:spacing w:val="8"/>
          <w:sz w:val="24"/>
          <w:highlight w:val="none"/>
        </w:rPr>
      </w:pPr>
      <w:r>
        <w:rPr>
          <w:rFonts w:hint="eastAsia" w:ascii="宋体" w:hAnsi="宋体" w:cs="宋体"/>
          <w:bCs/>
          <w:color w:val="000000"/>
          <w:spacing w:val="8"/>
          <w:sz w:val="24"/>
          <w:highlight w:val="none"/>
        </w:rPr>
        <w:t>特此证明。</w:t>
      </w:r>
    </w:p>
    <w:p w14:paraId="3E1E7CF5">
      <w:pPr>
        <w:spacing w:line="360" w:lineRule="auto"/>
        <w:ind w:firstLine="384" w:firstLineChars="150"/>
        <w:rPr>
          <w:rFonts w:hint="eastAsia" w:ascii="宋体" w:hAnsi="宋体" w:cs="宋体"/>
          <w:bCs/>
          <w:color w:val="000000"/>
          <w:spacing w:val="8"/>
          <w:sz w:val="24"/>
          <w:highlight w:val="none"/>
        </w:rPr>
      </w:pPr>
    </w:p>
    <w:p w14:paraId="7E0AE21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5B40DE41">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17486992">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职    务：</w:t>
      </w:r>
    </w:p>
    <w:p w14:paraId="2A1E60EB">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日    期：</w:t>
      </w:r>
    </w:p>
    <w:p w14:paraId="021AF892">
      <w:pPr>
        <w:pStyle w:val="9"/>
        <w:spacing w:line="360" w:lineRule="auto"/>
        <w:ind w:firstLine="5301" w:firstLineChars="2200"/>
        <w:rPr>
          <w:rFonts w:hint="eastAsia" w:hAnsi="宋体" w:cs="宋体"/>
          <w:b/>
          <w:snapToGrid w:val="0"/>
          <w:color w:val="000000"/>
          <w:kern w:val="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12F4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22EF2BB6">
            <w:pPr>
              <w:spacing w:line="360" w:lineRule="auto"/>
              <w:rPr>
                <w:rFonts w:hint="eastAsia" w:ascii="宋体" w:hAnsi="宋体" w:cs="宋体"/>
                <w:color w:val="000000"/>
                <w:spacing w:val="8"/>
                <w:sz w:val="24"/>
                <w:highlight w:val="none"/>
              </w:rPr>
            </w:pPr>
          </w:p>
          <w:p w14:paraId="2667420B">
            <w:pPr>
              <w:spacing w:line="360" w:lineRule="auto"/>
              <w:rPr>
                <w:rFonts w:hint="eastAsia" w:ascii="宋体" w:hAnsi="宋体" w:cs="宋体"/>
                <w:color w:val="000000"/>
                <w:spacing w:val="8"/>
                <w:sz w:val="24"/>
                <w:highlight w:val="none"/>
              </w:rPr>
            </w:pPr>
          </w:p>
          <w:p w14:paraId="78CD909D">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法人代表/负责人的身份证粘贴处</w:t>
            </w:r>
          </w:p>
          <w:p w14:paraId="616080C3">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3D66AA8E">
            <w:pPr>
              <w:pStyle w:val="5"/>
              <w:spacing w:line="360" w:lineRule="auto"/>
              <w:ind w:firstLine="0" w:firstLineChars="0"/>
              <w:rPr>
                <w:rFonts w:hint="eastAsia" w:ascii="宋体" w:hAnsi="宋体" w:cs="宋体"/>
                <w:color w:val="000000"/>
                <w:spacing w:val="8"/>
                <w:sz w:val="24"/>
                <w:highlight w:val="none"/>
              </w:rPr>
            </w:pPr>
          </w:p>
          <w:p w14:paraId="58D1DE9A">
            <w:pPr>
              <w:pStyle w:val="5"/>
              <w:spacing w:line="360" w:lineRule="auto"/>
              <w:ind w:firstLine="0" w:firstLineChars="0"/>
              <w:rPr>
                <w:rFonts w:hint="eastAsia" w:ascii="宋体" w:hAnsi="宋体" w:cs="宋体"/>
                <w:color w:val="000000"/>
                <w:spacing w:val="8"/>
                <w:sz w:val="24"/>
                <w:highlight w:val="none"/>
              </w:rPr>
            </w:pPr>
          </w:p>
          <w:p w14:paraId="1A8C1A37">
            <w:pPr>
              <w:pStyle w:val="5"/>
              <w:spacing w:line="360" w:lineRule="auto"/>
              <w:ind w:firstLine="0" w:firstLineChars="0"/>
              <w:rPr>
                <w:rFonts w:hint="eastAsia" w:ascii="宋体" w:hAnsi="宋体" w:cs="宋体"/>
                <w:color w:val="000000"/>
                <w:spacing w:val="8"/>
                <w:sz w:val="24"/>
                <w:highlight w:val="none"/>
              </w:rPr>
            </w:pPr>
            <w:r>
              <w:rPr>
                <w:rFonts w:hint="eastAsia" w:ascii="宋体" w:hAnsi="宋体" w:cs="宋体"/>
                <w:color w:val="000000"/>
                <w:spacing w:val="8"/>
                <w:sz w:val="24"/>
                <w:highlight w:val="none"/>
              </w:rPr>
              <w:t xml:space="preserve">     正面与反面均须粘贴</w:t>
            </w:r>
          </w:p>
        </w:tc>
      </w:tr>
    </w:tbl>
    <w:p w14:paraId="1255C3E6">
      <w:pPr>
        <w:pStyle w:val="5"/>
        <w:spacing w:line="360" w:lineRule="auto"/>
        <w:rPr>
          <w:rFonts w:hint="eastAsia" w:ascii="宋体" w:hAnsi="宋体" w:cs="宋体"/>
          <w:color w:val="000000"/>
          <w:highlight w:val="none"/>
        </w:rPr>
      </w:pPr>
    </w:p>
    <w:p w14:paraId="6D1B9DEC">
      <w:pPr>
        <w:pStyle w:val="5"/>
        <w:spacing w:line="360" w:lineRule="auto"/>
        <w:rPr>
          <w:rFonts w:hint="eastAsia" w:ascii="宋体" w:hAnsi="宋体" w:cs="宋体"/>
          <w:color w:val="000000"/>
          <w:highlight w:val="none"/>
        </w:rPr>
      </w:pPr>
    </w:p>
    <w:p w14:paraId="45337CC5">
      <w:pPr>
        <w:pStyle w:val="5"/>
        <w:spacing w:line="360" w:lineRule="auto"/>
        <w:rPr>
          <w:rFonts w:hint="eastAsia" w:ascii="宋体" w:hAnsi="宋体" w:cs="宋体"/>
          <w:color w:val="000000"/>
          <w:highlight w:val="none"/>
        </w:rPr>
      </w:pPr>
    </w:p>
    <w:p w14:paraId="12B326A3">
      <w:pPr>
        <w:pStyle w:val="5"/>
        <w:spacing w:line="360" w:lineRule="auto"/>
        <w:rPr>
          <w:rFonts w:hint="eastAsia" w:ascii="宋体" w:hAnsi="宋体" w:cs="宋体"/>
          <w:color w:val="000000"/>
          <w:highlight w:val="none"/>
        </w:rPr>
      </w:pPr>
    </w:p>
    <w:p w14:paraId="7165922E">
      <w:pPr>
        <w:pStyle w:val="5"/>
        <w:spacing w:line="360" w:lineRule="auto"/>
        <w:rPr>
          <w:rFonts w:hint="eastAsia" w:ascii="宋体" w:hAnsi="宋体" w:cs="宋体"/>
          <w:color w:val="000000"/>
          <w:highlight w:val="none"/>
        </w:rPr>
      </w:pPr>
    </w:p>
    <w:p w14:paraId="38E4BEA6">
      <w:pPr>
        <w:pStyle w:val="3"/>
        <w:numPr>
          <w:ilvl w:val="0"/>
          <w:numId w:val="0"/>
        </w:numPr>
        <w:spacing w:line="360" w:lineRule="auto"/>
        <w:jc w:val="left"/>
        <w:rPr>
          <w:rFonts w:hint="eastAsia" w:hAnsi="宋体" w:cs="宋体"/>
          <w:color w:val="000000"/>
          <w:highlight w:val="none"/>
        </w:rPr>
      </w:pPr>
      <w:bookmarkStart w:id="6" w:name="_Toc15097"/>
      <w:bookmarkStart w:id="7" w:name="_Toc15199"/>
      <w:bookmarkStart w:id="8" w:name="_Toc18476"/>
      <w:r>
        <w:rPr>
          <w:rFonts w:hint="eastAsia" w:hAnsi="宋体" w:cs="宋体"/>
          <w:b w:val="0"/>
          <w:snapToGrid w:val="0"/>
          <w:color w:val="000000"/>
          <w:kern w:val="0"/>
          <w:sz w:val="24"/>
          <w:szCs w:val="24"/>
          <w:highlight w:val="none"/>
        </w:rPr>
        <w:t>（2）</w:t>
      </w:r>
      <w:r>
        <w:rPr>
          <w:rFonts w:hint="eastAsia" w:hAnsi="宋体" w:cs="宋体"/>
          <w:b w:val="0"/>
          <w:color w:val="000000"/>
          <w:sz w:val="24"/>
          <w:szCs w:val="24"/>
          <w:highlight w:val="none"/>
        </w:rPr>
        <w:t>法</w:t>
      </w:r>
      <w:r>
        <w:rPr>
          <w:rFonts w:hint="eastAsia" w:hAnsi="宋体" w:cs="宋体"/>
          <w:b w:val="0"/>
          <w:snapToGrid w:val="0"/>
          <w:color w:val="000000"/>
          <w:kern w:val="0"/>
          <w:sz w:val="24"/>
          <w:szCs w:val="24"/>
          <w:highlight w:val="none"/>
        </w:rPr>
        <w:t>定代表人授权委托书格式</w:t>
      </w:r>
      <w:bookmarkEnd w:id="6"/>
      <w:bookmarkEnd w:id="7"/>
      <w:bookmarkEnd w:id="8"/>
    </w:p>
    <w:p w14:paraId="35D5FF2B">
      <w:pPr>
        <w:spacing w:line="360" w:lineRule="auto"/>
        <w:jc w:val="center"/>
        <w:rPr>
          <w:rFonts w:hint="eastAsia" w:ascii="宋体" w:hAnsi="宋体" w:cs="宋体"/>
          <w:b/>
          <w:bCs/>
          <w:color w:val="000000"/>
          <w:sz w:val="28"/>
          <w:highlight w:val="none"/>
        </w:rPr>
      </w:pPr>
      <w:r>
        <w:rPr>
          <w:rFonts w:hint="eastAsia" w:ascii="宋体" w:hAnsi="宋体" w:cs="宋体"/>
          <w:b/>
          <w:bCs/>
          <w:color w:val="000000"/>
          <w:sz w:val="28"/>
          <w:highlight w:val="none"/>
        </w:rPr>
        <w:t>法定代表人/负责人授权委托书</w:t>
      </w:r>
    </w:p>
    <w:p w14:paraId="3A9A6207">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致：河源市</w:t>
      </w:r>
      <w:r>
        <w:rPr>
          <w:rFonts w:hint="eastAsia" w:ascii="宋体" w:hAnsi="宋体" w:cs="宋体"/>
          <w:bCs/>
          <w:color w:val="000000"/>
          <w:spacing w:val="8"/>
          <w:sz w:val="24"/>
          <w:highlight w:val="none"/>
          <w:lang w:eastAsia="zh-CN"/>
        </w:rPr>
        <w:t>人民医院</w:t>
      </w:r>
    </w:p>
    <w:p w14:paraId="0049B4F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本授权委托书声明：我</w:t>
      </w:r>
      <w:r>
        <w:rPr>
          <w:rFonts w:hint="eastAsia" w:ascii="宋体" w:hAnsi="宋体" w:cs="宋体"/>
          <w:color w:val="000000"/>
          <w:sz w:val="24"/>
          <w:highlight w:val="none"/>
          <w:u w:val="single"/>
        </w:rPr>
        <w:t xml:space="preserve">  （姓名、身份证号码）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（响应</w:t>
      </w:r>
      <w:r>
        <w:rPr>
          <w:rFonts w:hint="eastAsia" w:ascii="宋体" w:hAnsi="宋体" w:cs="宋体"/>
          <w:color w:val="000000"/>
          <w:sz w:val="24"/>
          <w:highlight w:val="none"/>
          <w:u w:val="single"/>
          <w:lang w:eastAsia="zh-CN"/>
        </w:rPr>
        <w:t>服务商</w:t>
      </w:r>
      <w:r>
        <w:rPr>
          <w:rFonts w:hint="eastAsia" w:ascii="宋体" w:hAnsi="宋体" w:cs="宋体"/>
          <w:color w:val="000000"/>
          <w:sz w:val="24"/>
          <w:highlight w:val="none"/>
          <w:u w:val="single"/>
        </w:rPr>
        <w:t xml:space="preserve">名称）   </w:t>
      </w:r>
      <w:r>
        <w:rPr>
          <w:rFonts w:hint="eastAsia" w:ascii="宋体" w:hAnsi="宋体" w:cs="宋体"/>
          <w:color w:val="000000"/>
          <w:sz w:val="24"/>
          <w:highlight w:val="none"/>
        </w:rPr>
        <w:t>的法定代表人/负责人，现授权委托</w:t>
      </w:r>
      <w:r>
        <w:rPr>
          <w:rFonts w:hint="eastAsia" w:ascii="宋体" w:hAnsi="宋体" w:cs="宋体"/>
          <w:color w:val="000000"/>
          <w:sz w:val="24"/>
          <w:highlight w:val="none"/>
          <w:u w:val="single"/>
        </w:rPr>
        <w:t xml:space="preserve">  （被授权人姓名） </w:t>
      </w:r>
      <w:r>
        <w:rPr>
          <w:rFonts w:hint="eastAsia" w:ascii="宋体" w:hAnsi="宋体" w:cs="宋体"/>
          <w:color w:val="000000"/>
          <w:sz w:val="24"/>
          <w:highlight w:val="none"/>
        </w:rPr>
        <w:t>为我公司授权代表，以本公司的名义参加</w:t>
      </w:r>
      <w:r>
        <w:rPr>
          <w:rFonts w:hint="eastAsia" w:ascii="宋体" w:hAnsi="宋体" w:cs="宋体"/>
          <w:color w:val="000000"/>
          <w:sz w:val="24"/>
          <w:highlight w:val="none"/>
          <w:lang w:eastAsia="zh-CN"/>
        </w:rPr>
        <w:t>贵单位</w:t>
      </w:r>
      <w:r>
        <w:rPr>
          <w:rFonts w:hint="eastAsia" w:ascii="宋体" w:hAnsi="宋体" w:cs="宋体"/>
          <w:color w:val="000000"/>
          <w:sz w:val="24"/>
          <w:highlight w:val="none"/>
        </w:rPr>
        <w:t>组织的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）的</w:t>
      </w:r>
      <w:r>
        <w:rPr>
          <w:rFonts w:hint="eastAsia" w:ascii="宋体" w:hAnsi="宋体" w:cs="宋体"/>
          <w:color w:val="000000"/>
          <w:spacing w:val="6"/>
          <w:sz w:val="24"/>
          <w:highlight w:val="none"/>
          <w:lang w:val="en-US" w:eastAsia="zh-CN"/>
        </w:rPr>
        <w:t>采购</w:t>
      </w:r>
      <w:r>
        <w:rPr>
          <w:rFonts w:hint="eastAsia" w:ascii="宋体" w:hAnsi="宋体" w:cs="宋体"/>
          <w:color w:val="000000"/>
          <w:spacing w:val="6"/>
          <w:sz w:val="24"/>
          <w:highlight w:val="none"/>
        </w:rPr>
        <w:t>活动</w:t>
      </w:r>
      <w:r>
        <w:rPr>
          <w:rFonts w:hint="eastAsia" w:ascii="宋体" w:hAnsi="宋体" w:cs="宋体"/>
          <w:color w:val="000000"/>
          <w:sz w:val="24"/>
          <w:highlight w:val="none"/>
        </w:rPr>
        <w:t>。授权代表在</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过程中所签署的一切文件和处理与之有关的一切事务，我方均予以承认，授权代表当场签字有效。</w:t>
      </w:r>
    </w:p>
    <w:p w14:paraId="336210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本授权书自本单位盖公章之日起生效，有效期为</w:t>
      </w:r>
      <w:r>
        <w:rPr>
          <w:rFonts w:hint="eastAsia" w:ascii="宋体" w:hAnsi="宋体" w:cs="宋体"/>
          <w:color w:val="000000"/>
          <w:sz w:val="24"/>
          <w:highlight w:val="none"/>
          <w:u w:val="single"/>
        </w:rPr>
        <w:t>90</w:t>
      </w:r>
      <w:r>
        <w:rPr>
          <w:rFonts w:hint="eastAsia" w:ascii="宋体" w:hAnsi="宋体" w:cs="宋体"/>
          <w:color w:val="000000"/>
          <w:sz w:val="24"/>
          <w:highlight w:val="none"/>
        </w:rPr>
        <w:t>天，特此声明。</w:t>
      </w:r>
    </w:p>
    <w:p w14:paraId="2B2C4B10">
      <w:pPr>
        <w:spacing w:line="360" w:lineRule="auto"/>
        <w:ind w:firstLine="480" w:firstLineChars="200"/>
        <w:rPr>
          <w:rFonts w:hint="eastAsia" w:ascii="宋体" w:hAnsi="宋体" w:cs="宋体"/>
          <w:color w:val="000000"/>
          <w:sz w:val="24"/>
          <w:highlight w:val="none"/>
        </w:rPr>
      </w:pPr>
    </w:p>
    <w:p w14:paraId="109E527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授权代表：</w:t>
      </w:r>
      <w:r>
        <w:rPr>
          <w:rFonts w:hint="eastAsia" w:ascii="宋体" w:hAnsi="宋体" w:cs="宋体"/>
          <w:color w:val="000000"/>
          <w:spacing w:val="8"/>
          <w:sz w:val="24"/>
          <w:highlight w:val="none"/>
          <w:u w:val="single"/>
        </w:rPr>
        <w:t xml:space="preserve">                        </w:t>
      </w:r>
    </w:p>
    <w:p w14:paraId="4EABF6F3">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性    别：</w:t>
      </w:r>
      <w:r>
        <w:rPr>
          <w:rFonts w:hint="eastAsia" w:ascii="宋体" w:hAnsi="宋体" w:cs="宋体"/>
          <w:color w:val="000000"/>
          <w:spacing w:val="8"/>
          <w:sz w:val="24"/>
          <w:highlight w:val="none"/>
          <w:u w:val="single"/>
        </w:rPr>
        <w:t xml:space="preserve">                        </w:t>
      </w:r>
    </w:p>
    <w:p w14:paraId="0A81EC0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身份证号码：</w:t>
      </w:r>
      <w:r>
        <w:rPr>
          <w:rFonts w:hint="eastAsia" w:ascii="宋体" w:hAnsi="宋体" w:cs="宋体"/>
          <w:color w:val="000000"/>
          <w:spacing w:val="8"/>
          <w:sz w:val="24"/>
          <w:highlight w:val="none"/>
          <w:u w:val="single"/>
        </w:rPr>
        <w:t xml:space="preserve">                      </w:t>
      </w:r>
    </w:p>
    <w:p w14:paraId="63535A48">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部门：</w:t>
      </w:r>
      <w:r>
        <w:rPr>
          <w:rFonts w:hint="eastAsia" w:ascii="宋体" w:hAnsi="宋体" w:cs="宋体"/>
          <w:color w:val="000000"/>
          <w:spacing w:val="8"/>
          <w:sz w:val="24"/>
          <w:highlight w:val="none"/>
          <w:u w:val="single"/>
        </w:rPr>
        <w:t xml:space="preserve">          </w:t>
      </w:r>
      <w:r>
        <w:rPr>
          <w:rFonts w:hint="eastAsia" w:ascii="宋体" w:hAnsi="宋体" w:cs="宋体"/>
          <w:color w:val="000000"/>
          <w:spacing w:val="8"/>
          <w:sz w:val="24"/>
          <w:highlight w:val="none"/>
        </w:rPr>
        <w:t xml:space="preserve">  职务：</w:t>
      </w:r>
      <w:r>
        <w:rPr>
          <w:rFonts w:hint="eastAsia" w:ascii="宋体" w:hAnsi="宋体" w:cs="宋体"/>
          <w:color w:val="000000"/>
          <w:spacing w:val="8"/>
          <w:sz w:val="24"/>
          <w:highlight w:val="none"/>
          <w:u w:val="single"/>
        </w:rPr>
        <w:t xml:space="preserve">          </w:t>
      </w:r>
    </w:p>
    <w:p w14:paraId="5CF8FC6E">
      <w:pPr>
        <w:pStyle w:val="9"/>
        <w:spacing w:line="360" w:lineRule="auto"/>
        <w:rPr>
          <w:rFonts w:hint="eastAsia" w:hAnsi="宋体" w:cs="宋体"/>
          <w:color w:val="000000"/>
          <w:sz w:val="24"/>
          <w:highlight w:val="none"/>
        </w:rPr>
      </w:pPr>
      <w:r>
        <w:rPr>
          <w:rFonts w:hint="eastAsia" w:hAnsi="宋体" w:cs="宋体"/>
          <w:color w:val="000000"/>
          <w:sz w:val="24"/>
          <w:highlight w:val="none"/>
        </w:rPr>
        <w:t>说明：</w:t>
      </w:r>
    </w:p>
    <w:p w14:paraId="09BCA207">
      <w:pPr>
        <w:numPr>
          <w:ilvl w:val="0"/>
          <w:numId w:val="0"/>
        </w:numPr>
        <w:tabs>
          <w:tab w:val="left" w:pos="567"/>
        </w:tabs>
        <w:spacing w:line="360" w:lineRule="auto"/>
        <w:ind w:leftChars="0"/>
        <w:rPr>
          <w:rFonts w:hint="eastAsia" w:ascii="宋体" w:hAnsi="宋体" w:cs="宋体"/>
          <w:color w:val="000000"/>
          <w:spacing w:val="8"/>
          <w:sz w:val="24"/>
          <w:highlight w:val="none"/>
        </w:rPr>
      </w:pPr>
      <w:r>
        <w:rPr>
          <w:rFonts w:hint="eastAsia" w:ascii="宋体" w:hAnsi="宋体" w:cs="宋体"/>
          <w:color w:val="000000"/>
          <w:spacing w:val="8"/>
          <w:sz w:val="24"/>
          <w:highlight w:val="none"/>
          <w:lang w:val="en-US" w:eastAsia="zh-CN"/>
        </w:rPr>
        <w:t>1、</w:t>
      </w:r>
      <w:r>
        <w:rPr>
          <w:rFonts w:hint="eastAsia" w:ascii="宋体" w:hAnsi="宋体" w:cs="宋体"/>
          <w:color w:val="000000"/>
          <w:spacing w:val="8"/>
          <w:sz w:val="24"/>
          <w:highlight w:val="none"/>
        </w:rPr>
        <w:t>响应</w:t>
      </w:r>
      <w:r>
        <w:rPr>
          <w:rFonts w:hint="eastAsia" w:ascii="宋体" w:hAnsi="宋体" w:cs="宋体"/>
          <w:color w:val="000000"/>
          <w:spacing w:val="8"/>
          <w:sz w:val="24"/>
          <w:highlight w:val="none"/>
          <w:lang w:eastAsia="zh-CN"/>
        </w:rPr>
        <w:t>服务</w:t>
      </w:r>
      <w:r>
        <w:rPr>
          <w:rFonts w:hint="eastAsia" w:ascii="宋体" w:hAnsi="宋体" w:cs="宋体"/>
          <w:color w:val="000000"/>
          <w:spacing w:val="8"/>
          <w:sz w:val="24"/>
          <w:highlight w:val="none"/>
        </w:rPr>
        <w:t>商代表是法定代表人/负责人并亲自签署响应文件的可不提交；</w:t>
      </w:r>
    </w:p>
    <w:p w14:paraId="5ACDB53E">
      <w:pPr>
        <w:pStyle w:val="9"/>
        <w:spacing w:line="360" w:lineRule="auto"/>
        <w:ind w:left="512" w:hanging="512" w:hangingChars="200"/>
        <w:rPr>
          <w:rFonts w:hint="eastAsia" w:hAnsi="宋体" w:cs="宋体"/>
          <w:color w:val="000000"/>
          <w:sz w:val="24"/>
          <w:highlight w:val="none"/>
        </w:rPr>
      </w:pPr>
      <w:r>
        <w:rPr>
          <w:rFonts w:hint="eastAsia" w:hAnsi="宋体" w:cs="宋体"/>
          <w:color w:val="000000"/>
          <w:spacing w:val="8"/>
          <w:sz w:val="24"/>
          <w:highlight w:val="none"/>
        </w:rPr>
        <w:t>2、 此处所述“法定代表人/负责人”须与响应</w:t>
      </w:r>
      <w:r>
        <w:rPr>
          <w:rFonts w:hint="eastAsia" w:hAnsi="宋体" w:cs="宋体"/>
          <w:color w:val="000000"/>
          <w:spacing w:val="8"/>
          <w:sz w:val="24"/>
          <w:highlight w:val="none"/>
          <w:lang w:eastAsia="zh-CN"/>
        </w:rPr>
        <w:t>服务</w:t>
      </w:r>
      <w:r>
        <w:rPr>
          <w:rFonts w:hint="eastAsia" w:hAnsi="宋体" w:cs="宋体"/>
          <w:color w:val="000000"/>
          <w:spacing w:val="8"/>
          <w:sz w:val="24"/>
          <w:highlight w:val="none"/>
        </w:rPr>
        <w:t>商的“企业法人营业执照”上的内容一致。</w:t>
      </w:r>
    </w:p>
    <w:p w14:paraId="07A383B0">
      <w:pPr>
        <w:pStyle w:val="9"/>
        <w:spacing w:line="360" w:lineRule="auto"/>
        <w:rPr>
          <w:rFonts w:hint="eastAsia" w:hAnsi="宋体" w:cs="宋体"/>
          <w:color w:val="000000"/>
          <w:highlight w:val="none"/>
        </w:rPr>
      </w:pPr>
      <w:r>
        <w:rPr>
          <w:rFonts w:hint="eastAsia" w:hAnsi="宋体" w:cs="宋体"/>
          <w:color w:val="000000"/>
          <w:highlight w:val="none"/>
        </w:rPr>
        <w:t xml:space="preserve">                                                               </w:t>
      </w:r>
    </w:p>
    <w:p w14:paraId="13B7BCD6">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被授权人（签字）：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353851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73E2BC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日  期：</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6A46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7BE9FB4A">
            <w:pPr>
              <w:spacing w:line="360" w:lineRule="auto"/>
              <w:rPr>
                <w:rFonts w:hint="eastAsia" w:ascii="宋体" w:hAnsi="宋体" w:cs="宋体"/>
                <w:color w:val="000000"/>
                <w:spacing w:val="8"/>
                <w:sz w:val="24"/>
                <w:highlight w:val="none"/>
              </w:rPr>
            </w:pPr>
          </w:p>
          <w:p w14:paraId="197E7195">
            <w:pPr>
              <w:spacing w:line="360" w:lineRule="auto"/>
              <w:rPr>
                <w:rFonts w:hint="eastAsia" w:ascii="宋体" w:hAnsi="宋体" w:cs="宋体"/>
                <w:color w:val="000000"/>
                <w:spacing w:val="8"/>
                <w:sz w:val="24"/>
                <w:highlight w:val="none"/>
              </w:rPr>
            </w:pPr>
          </w:p>
          <w:p w14:paraId="5808A7C1">
            <w:pPr>
              <w:spacing w:line="360" w:lineRule="auto"/>
              <w:jc w:val="center"/>
              <w:rPr>
                <w:rFonts w:hint="eastAsia" w:ascii="宋体" w:hAnsi="宋体" w:cs="宋体"/>
                <w:snapToGrid w:val="0"/>
                <w:color w:val="000000"/>
                <w:kern w:val="0"/>
                <w:sz w:val="24"/>
                <w:highlight w:val="none"/>
              </w:rPr>
            </w:pPr>
            <w:r>
              <w:rPr>
                <w:rFonts w:hint="eastAsia" w:ascii="宋体" w:hAnsi="宋体" w:cs="宋体"/>
                <w:color w:val="000000"/>
                <w:spacing w:val="8"/>
                <w:sz w:val="24"/>
                <w:highlight w:val="none"/>
              </w:rPr>
              <w:t>授权代表的身份证粘贴处</w:t>
            </w:r>
          </w:p>
          <w:p w14:paraId="48ACD020">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70CED49F">
            <w:pPr>
              <w:spacing w:line="360" w:lineRule="auto"/>
              <w:ind w:firstLine="840" w:firstLineChars="35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正面与反面均须粘贴</w:t>
            </w:r>
          </w:p>
          <w:p w14:paraId="03EE14FA">
            <w:pPr>
              <w:spacing w:line="360" w:lineRule="auto"/>
              <w:ind w:firstLine="840" w:firstLineChars="350"/>
              <w:rPr>
                <w:rFonts w:hint="eastAsia" w:ascii="宋体" w:hAnsi="宋体" w:cs="宋体"/>
                <w:snapToGrid w:val="0"/>
                <w:color w:val="000000"/>
                <w:kern w:val="0"/>
                <w:sz w:val="24"/>
                <w:highlight w:val="none"/>
              </w:rPr>
            </w:pPr>
          </w:p>
        </w:tc>
      </w:tr>
    </w:tbl>
    <w:p w14:paraId="50E5D4CB">
      <w:pPr>
        <w:spacing w:line="360" w:lineRule="auto"/>
        <w:rPr>
          <w:rFonts w:hint="eastAsia" w:ascii="宋体" w:hAnsi="宋体" w:cs="宋体"/>
          <w:b/>
          <w:color w:val="000000"/>
          <w:sz w:val="24"/>
          <w:highlight w:val="none"/>
        </w:rPr>
      </w:pPr>
      <w:r>
        <w:rPr>
          <w:rFonts w:hint="eastAsia" w:ascii="宋体" w:hAnsi="宋体" w:cs="宋体"/>
          <w:b/>
          <w:bCs/>
          <w:snapToGrid w:val="0"/>
          <w:color w:val="000000"/>
          <w:kern w:val="0"/>
          <w:sz w:val="28"/>
          <w:szCs w:val="28"/>
          <w:highlight w:val="none"/>
        </w:rPr>
        <w:br w:type="page"/>
      </w:r>
    </w:p>
    <w:p w14:paraId="017431A3">
      <w:pPr>
        <w:pStyle w:val="10"/>
        <w:adjustRightInd w:val="0"/>
        <w:snapToGrid w:val="0"/>
        <w:spacing w:line="360" w:lineRule="auto"/>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2.3.3</w:t>
      </w:r>
      <w:r>
        <w:rPr>
          <w:rFonts w:hint="eastAsia" w:hAnsi="宋体" w:cs="宋体"/>
          <w:b/>
          <w:bCs/>
          <w:color w:val="000000"/>
          <w:sz w:val="28"/>
          <w:szCs w:val="28"/>
          <w:highlight w:val="none"/>
        </w:rPr>
        <w:t>未被列入“信用中国”网站中“记录失信被执行人或重大税收违法案件当事人名单或政府采购严重违法失信行为”的记录名单（</w:t>
      </w:r>
      <w:r>
        <w:rPr>
          <w:rFonts w:hint="eastAsia" w:hAnsi="宋体" w:cs="宋体"/>
          <w:b/>
          <w:bCs/>
          <w:color w:val="000000"/>
          <w:sz w:val="28"/>
          <w:szCs w:val="28"/>
          <w:highlight w:val="none"/>
          <w:lang w:eastAsia="zh-CN"/>
        </w:rPr>
        <w:t>提供</w:t>
      </w:r>
      <w:r>
        <w:rPr>
          <w:rFonts w:hint="eastAsia" w:hAnsi="宋体" w:cs="宋体"/>
          <w:b/>
          <w:bCs/>
          <w:color w:val="000000"/>
          <w:sz w:val="28"/>
          <w:szCs w:val="28"/>
          <w:highlight w:val="none"/>
        </w:rPr>
        <w:t>“信用中国”网站www.credtchina.gov.cn查询截图证明）</w:t>
      </w:r>
    </w:p>
    <w:p w14:paraId="7D344A9F">
      <w:pPr>
        <w:tabs>
          <w:tab w:val="left" w:pos="315"/>
        </w:tabs>
        <w:spacing w:before="156" w:beforeLines="50" w:after="156" w:afterLines="50" w:line="360" w:lineRule="auto"/>
        <w:rPr>
          <w:rFonts w:hint="eastAsia" w:ascii="宋体" w:hAnsi="宋体" w:cs="宋体"/>
          <w:b/>
          <w:bCs/>
          <w:snapToGrid w:val="0"/>
          <w:color w:val="000000"/>
          <w:kern w:val="0"/>
          <w:sz w:val="28"/>
          <w:szCs w:val="28"/>
          <w:highlight w:val="none"/>
        </w:rPr>
      </w:pPr>
    </w:p>
    <w:p w14:paraId="403C2D76">
      <w:pPr>
        <w:spacing w:line="360" w:lineRule="auto"/>
        <w:rPr>
          <w:rFonts w:hint="eastAsia" w:ascii="宋体" w:hAnsi="宋体" w:cs="宋体"/>
          <w:b/>
          <w:bCs/>
          <w:snapToGrid w:val="0"/>
          <w:color w:val="000000"/>
          <w:kern w:val="0"/>
          <w:sz w:val="28"/>
          <w:szCs w:val="28"/>
          <w:highlight w:val="none"/>
        </w:rPr>
      </w:pPr>
    </w:p>
    <w:p w14:paraId="1CD9CB85">
      <w:pPr>
        <w:spacing w:line="360" w:lineRule="auto"/>
        <w:rPr>
          <w:rFonts w:hint="eastAsia" w:ascii="宋体" w:hAnsi="宋体" w:cs="宋体"/>
          <w:b/>
          <w:bCs/>
          <w:snapToGrid w:val="0"/>
          <w:color w:val="000000"/>
          <w:kern w:val="0"/>
          <w:sz w:val="28"/>
          <w:szCs w:val="28"/>
          <w:highlight w:val="none"/>
        </w:rPr>
      </w:pPr>
    </w:p>
    <w:p w14:paraId="3A358896">
      <w:pPr>
        <w:spacing w:line="360" w:lineRule="auto"/>
        <w:rPr>
          <w:rFonts w:hint="eastAsia" w:ascii="宋体" w:hAnsi="宋体" w:cs="宋体"/>
          <w:b/>
          <w:bCs/>
          <w:snapToGrid w:val="0"/>
          <w:color w:val="000000"/>
          <w:kern w:val="0"/>
          <w:sz w:val="28"/>
          <w:szCs w:val="28"/>
          <w:highlight w:val="none"/>
        </w:rPr>
      </w:pPr>
    </w:p>
    <w:p w14:paraId="1B586719">
      <w:pPr>
        <w:spacing w:line="360" w:lineRule="auto"/>
        <w:rPr>
          <w:rFonts w:hint="eastAsia" w:ascii="宋体" w:hAnsi="宋体" w:cs="宋体"/>
          <w:b/>
          <w:bCs/>
          <w:snapToGrid w:val="0"/>
          <w:color w:val="000000"/>
          <w:kern w:val="0"/>
          <w:sz w:val="28"/>
          <w:szCs w:val="28"/>
          <w:highlight w:val="none"/>
        </w:rPr>
      </w:pPr>
    </w:p>
    <w:p w14:paraId="45CFD2AE">
      <w:pPr>
        <w:spacing w:line="360" w:lineRule="auto"/>
        <w:rPr>
          <w:rFonts w:hint="eastAsia" w:ascii="宋体" w:hAnsi="宋体" w:cs="宋体"/>
          <w:b/>
          <w:bCs/>
          <w:snapToGrid w:val="0"/>
          <w:color w:val="000000"/>
          <w:kern w:val="0"/>
          <w:sz w:val="28"/>
          <w:szCs w:val="28"/>
          <w:highlight w:val="none"/>
        </w:rPr>
      </w:pPr>
    </w:p>
    <w:p w14:paraId="2EE188FE">
      <w:pPr>
        <w:spacing w:line="360" w:lineRule="auto"/>
        <w:rPr>
          <w:rFonts w:hint="eastAsia" w:ascii="宋体" w:hAnsi="宋体" w:cs="宋体"/>
          <w:b/>
          <w:bCs/>
          <w:snapToGrid w:val="0"/>
          <w:color w:val="000000"/>
          <w:kern w:val="0"/>
          <w:sz w:val="28"/>
          <w:szCs w:val="28"/>
          <w:highlight w:val="none"/>
        </w:rPr>
      </w:pPr>
    </w:p>
    <w:p w14:paraId="0C216C74">
      <w:pPr>
        <w:spacing w:line="360" w:lineRule="auto"/>
        <w:rPr>
          <w:rFonts w:hint="eastAsia" w:ascii="宋体" w:hAnsi="宋体" w:cs="宋体"/>
          <w:b/>
          <w:bCs/>
          <w:snapToGrid w:val="0"/>
          <w:color w:val="000000"/>
          <w:kern w:val="0"/>
          <w:sz w:val="28"/>
          <w:szCs w:val="28"/>
          <w:highlight w:val="none"/>
        </w:rPr>
      </w:pPr>
    </w:p>
    <w:p w14:paraId="70BECD4E">
      <w:pPr>
        <w:spacing w:line="360" w:lineRule="auto"/>
        <w:rPr>
          <w:rFonts w:hint="eastAsia" w:ascii="宋体" w:hAnsi="宋体" w:cs="宋体"/>
          <w:b/>
          <w:bCs/>
          <w:snapToGrid w:val="0"/>
          <w:color w:val="000000"/>
          <w:kern w:val="0"/>
          <w:sz w:val="28"/>
          <w:szCs w:val="28"/>
          <w:highlight w:val="none"/>
        </w:rPr>
      </w:pPr>
    </w:p>
    <w:p w14:paraId="74773868">
      <w:pPr>
        <w:spacing w:line="360" w:lineRule="auto"/>
        <w:rPr>
          <w:rFonts w:hint="eastAsia" w:ascii="宋体" w:hAnsi="宋体" w:cs="宋体"/>
          <w:b/>
          <w:bCs/>
          <w:snapToGrid w:val="0"/>
          <w:color w:val="000000"/>
          <w:kern w:val="0"/>
          <w:sz w:val="28"/>
          <w:szCs w:val="28"/>
          <w:highlight w:val="none"/>
        </w:rPr>
      </w:pPr>
    </w:p>
    <w:p w14:paraId="011DD92D">
      <w:pPr>
        <w:spacing w:line="360" w:lineRule="auto"/>
        <w:rPr>
          <w:rFonts w:hint="eastAsia" w:ascii="宋体" w:hAnsi="宋体" w:cs="宋体"/>
          <w:b/>
          <w:bCs/>
          <w:snapToGrid w:val="0"/>
          <w:color w:val="000000"/>
          <w:kern w:val="0"/>
          <w:sz w:val="28"/>
          <w:szCs w:val="28"/>
          <w:highlight w:val="none"/>
        </w:rPr>
      </w:pPr>
    </w:p>
    <w:p w14:paraId="2DE92592">
      <w:pPr>
        <w:spacing w:line="360" w:lineRule="auto"/>
        <w:rPr>
          <w:rFonts w:hint="eastAsia" w:ascii="宋体" w:hAnsi="宋体" w:cs="宋体"/>
          <w:b/>
          <w:bCs/>
          <w:snapToGrid w:val="0"/>
          <w:color w:val="000000"/>
          <w:kern w:val="0"/>
          <w:sz w:val="28"/>
          <w:szCs w:val="28"/>
          <w:highlight w:val="none"/>
        </w:rPr>
      </w:pPr>
    </w:p>
    <w:p w14:paraId="581EE777">
      <w:pPr>
        <w:spacing w:line="360" w:lineRule="auto"/>
        <w:rPr>
          <w:rFonts w:hint="eastAsia" w:ascii="宋体" w:hAnsi="宋体" w:cs="宋体"/>
          <w:b/>
          <w:bCs/>
          <w:snapToGrid w:val="0"/>
          <w:color w:val="000000"/>
          <w:kern w:val="0"/>
          <w:sz w:val="28"/>
          <w:szCs w:val="28"/>
          <w:highlight w:val="none"/>
        </w:rPr>
      </w:pPr>
    </w:p>
    <w:p w14:paraId="60638440">
      <w:pPr>
        <w:spacing w:line="360" w:lineRule="auto"/>
        <w:rPr>
          <w:rFonts w:hint="eastAsia" w:ascii="宋体" w:hAnsi="宋体" w:cs="宋体"/>
          <w:b/>
          <w:bCs/>
          <w:snapToGrid w:val="0"/>
          <w:color w:val="000000"/>
          <w:kern w:val="0"/>
          <w:sz w:val="28"/>
          <w:szCs w:val="28"/>
          <w:highlight w:val="none"/>
        </w:rPr>
      </w:pPr>
    </w:p>
    <w:p w14:paraId="1681596D">
      <w:pPr>
        <w:spacing w:line="360" w:lineRule="auto"/>
        <w:rPr>
          <w:rFonts w:hint="eastAsia" w:ascii="宋体" w:hAnsi="宋体" w:cs="宋体"/>
          <w:b/>
          <w:bCs/>
          <w:snapToGrid w:val="0"/>
          <w:color w:val="000000"/>
          <w:kern w:val="0"/>
          <w:sz w:val="28"/>
          <w:szCs w:val="28"/>
          <w:highlight w:val="none"/>
        </w:rPr>
      </w:pPr>
    </w:p>
    <w:p w14:paraId="00B37087">
      <w:pPr>
        <w:spacing w:line="360" w:lineRule="auto"/>
        <w:rPr>
          <w:rFonts w:hint="eastAsia" w:ascii="宋体" w:hAnsi="宋体" w:cs="宋体"/>
          <w:b/>
          <w:bCs/>
          <w:snapToGrid w:val="0"/>
          <w:color w:val="000000"/>
          <w:kern w:val="0"/>
          <w:sz w:val="28"/>
          <w:szCs w:val="28"/>
          <w:highlight w:val="none"/>
        </w:rPr>
      </w:pPr>
    </w:p>
    <w:p w14:paraId="487A6EAC">
      <w:pPr>
        <w:spacing w:line="360" w:lineRule="auto"/>
        <w:rPr>
          <w:rFonts w:hint="eastAsia" w:ascii="宋体" w:hAnsi="宋体" w:cs="宋体"/>
          <w:b/>
          <w:bCs/>
          <w:snapToGrid w:val="0"/>
          <w:color w:val="000000"/>
          <w:kern w:val="0"/>
          <w:sz w:val="28"/>
          <w:szCs w:val="28"/>
          <w:highlight w:val="none"/>
        </w:rPr>
      </w:pPr>
    </w:p>
    <w:p w14:paraId="3AD0FA77">
      <w:pPr>
        <w:spacing w:line="360" w:lineRule="auto"/>
        <w:rPr>
          <w:rFonts w:hint="eastAsia" w:ascii="宋体" w:hAnsi="宋体" w:cs="宋体"/>
          <w:b/>
          <w:bCs/>
          <w:snapToGrid w:val="0"/>
          <w:color w:val="000000"/>
          <w:kern w:val="0"/>
          <w:sz w:val="28"/>
          <w:szCs w:val="28"/>
          <w:highlight w:val="none"/>
        </w:rPr>
      </w:pPr>
    </w:p>
    <w:p w14:paraId="30AEB83B">
      <w:pPr>
        <w:spacing w:line="360" w:lineRule="auto"/>
        <w:rPr>
          <w:rFonts w:hint="eastAsia" w:ascii="宋体" w:hAnsi="宋体" w:cs="宋体"/>
          <w:b/>
          <w:bCs/>
          <w:snapToGrid w:val="0"/>
          <w:color w:val="000000"/>
          <w:kern w:val="0"/>
          <w:sz w:val="28"/>
          <w:szCs w:val="28"/>
          <w:highlight w:val="none"/>
        </w:rPr>
      </w:pPr>
    </w:p>
    <w:p w14:paraId="1A2F8D8B">
      <w:pPr>
        <w:spacing w:line="360" w:lineRule="auto"/>
        <w:rPr>
          <w:rFonts w:hint="eastAsia" w:ascii="宋体" w:hAnsi="宋体" w:cs="宋体"/>
          <w:b/>
          <w:bCs/>
          <w:snapToGrid w:val="0"/>
          <w:color w:val="000000"/>
          <w:kern w:val="0"/>
          <w:sz w:val="24"/>
          <w:szCs w:val="24"/>
          <w:highlight w:val="none"/>
        </w:rPr>
      </w:pPr>
      <w:r>
        <w:rPr>
          <w:rFonts w:hint="eastAsia" w:ascii="宋体" w:hAnsi="宋体" w:cs="宋体"/>
          <w:b/>
          <w:bCs/>
          <w:snapToGrid w:val="0"/>
          <w:color w:val="000000"/>
          <w:kern w:val="0"/>
          <w:sz w:val="28"/>
          <w:szCs w:val="28"/>
          <w:highlight w:val="none"/>
        </w:rPr>
        <w:br w:type="page"/>
      </w:r>
    </w:p>
    <w:p w14:paraId="10D2EBDD">
      <w:pPr>
        <w:spacing w:line="36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hr-HR"/>
        </w:rPr>
        <w:t>2.3.</w:t>
      </w: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lang w:val="hr-HR"/>
        </w:rPr>
        <w:t>.</w:t>
      </w:r>
      <w:r>
        <w:rPr>
          <w:rFonts w:hint="eastAsia" w:ascii="宋体" w:hAnsi="宋体" w:eastAsia="宋体" w:cs="宋体"/>
          <w:b/>
          <w:snapToGrid w:val="0"/>
          <w:color w:val="000000"/>
          <w:kern w:val="0"/>
          <w:sz w:val="28"/>
          <w:szCs w:val="28"/>
          <w:highlight w:val="none"/>
        </w:rPr>
        <w:t xml:space="preserve"> 单位负责人为同一人或者存在直接控股、管理关系的不同服务商,不得同时参加本采购项目响应。为本项目提供整体设计、规范编制或者项目管理、 监理、 检测等服务的服务商, 不得再参与本项目响应，提供《</w:t>
      </w:r>
      <w:r>
        <w:rPr>
          <w:rFonts w:hint="eastAsia" w:ascii="宋体" w:hAnsi="宋体" w:eastAsia="宋体" w:cs="宋体"/>
          <w:b/>
          <w:snapToGrid w:val="0"/>
          <w:color w:val="000000"/>
          <w:kern w:val="0"/>
          <w:sz w:val="28"/>
          <w:szCs w:val="28"/>
          <w:highlight w:val="none"/>
          <w:lang w:val="en-US" w:eastAsia="zh-CN"/>
        </w:rPr>
        <w:t>声明</w:t>
      </w:r>
      <w:r>
        <w:rPr>
          <w:rFonts w:hint="eastAsia" w:ascii="宋体" w:hAnsi="宋体" w:eastAsia="宋体" w:cs="宋体"/>
          <w:b/>
          <w:snapToGrid w:val="0"/>
          <w:color w:val="000000"/>
          <w:kern w:val="0"/>
          <w:sz w:val="28"/>
          <w:szCs w:val="28"/>
          <w:highlight w:val="none"/>
        </w:rPr>
        <w:t>函》；</w:t>
      </w:r>
    </w:p>
    <w:p w14:paraId="40000A95">
      <w:pPr>
        <w:spacing w:before="312" w:beforeLines="100" w:after="156" w:afterLines="50" w:line="360" w:lineRule="auto"/>
        <w:jc w:val="center"/>
        <w:rPr>
          <w:rFonts w:hint="eastAsia" w:ascii="宋体" w:hAnsi="宋体" w:cs="宋体"/>
          <w:b/>
          <w:snapToGrid w:val="0"/>
          <w:color w:val="000000"/>
          <w:kern w:val="0"/>
          <w:sz w:val="24"/>
          <w:highlight w:val="none"/>
        </w:rPr>
      </w:pPr>
    </w:p>
    <w:p w14:paraId="2FFE5931">
      <w:pPr>
        <w:spacing w:before="312" w:beforeLines="100" w:after="156" w:afterLines="50" w:line="360" w:lineRule="auto"/>
        <w:jc w:val="center"/>
        <w:rPr>
          <w:rFonts w:hint="eastAsia" w:ascii="宋体" w:hAnsi="宋体" w:cs="宋体"/>
          <w:b/>
          <w:snapToGrid w:val="0"/>
          <w:color w:val="000000"/>
          <w:kern w:val="0"/>
          <w:sz w:val="28"/>
          <w:szCs w:val="28"/>
          <w:highlight w:val="none"/>
        </w:rPr>
      </w:pPr>
      <w:r>
        <w:rPr>
          <w:rFonts w:hint="eastAsia" w:ascii="宋体" w:hAnsi="宋体" w:cs="宋体"/>
          <w:b/>
          <w:snapToGrid w:val="0"/>
          <w:color w:val="000000"/>
          <w:kern w:val="0"/>
          <w:sz w:val="28"/>
          <w:szCs w:val="28"/>
          <w:highlight w:val="none"/>
        </w:rPr>
        <w:t>声明函（格式）</w:t>
      </w:r>
    </w:p>
    <w:p w14:paraId="41073E36">
      <w:p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我司声明：在参加本次</w:t>
      </w:r>
      <w:r>
        <w:rPr>
          <w:rFonts w:hint="eastAsia" w:ascii="宋体" w:hAnsi="宋体" w:cs="宋体"/>
          <w:snapToGrid w:val="0"/>
          <w:color w:val="000000"/>
          <w:kern w:val="0"/>
          <w:sz w:val="24"/>
          <w:highlight w:val="none"/>
          <w:lang w:val="en-US" w:eastAsia="zh-CN"/>
        </w:rPr>
        <w:t>采购</w:t>
      </w:r>
      <w:r>
        <w:rPr>
          <w:rFonts w:hint="eastAsia" w:ascii="宋体" w:hAnsi="宋体" w:cs="宋体"/>
          <w:snapToGrid w:val="0"/>
          <w:color w:val="000000"/>
          <w:kern w:val="0"/>
          <w:sz w:val="24"/>
          <w:highlight w:val="none"/>
        </w:rPr>
        <w:t>活动中，不同的服务商之间不存在</w:t>
      </w:r>
      <w:r>
        <w:rPr>
          <w:rFonts w:hint="eastAsia" w:ascii="宋体" w:hAnsi="宋体" w:cs="宋体"/>
          <w:snapToGrid w:val="0"/>
          <w:color w:val="000000"/>
          <w:kern w:val="0"/>
          <w:sz w:val="24"/>
          <w:highlight w:val="none"/>
          <w:lang w:eastAsia="zh-CN"/>
        </w:rPr>
        <w:t>：</w:t>
      </w:r>
    </w:p>
    <w:p w14:paraId="1EE32C3E">
      <w:pPr>
        <w:numPr>
          <w:ilvl w:val="0"/>
          <w:numId w:val="9"/>
        </w:num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lang w:eastAsia="zh-CN"/>
        </w:rPr>
        <w:t>直接控股、管理关系；</w:t>
      </w:r>
    </w:p>
    <w:p w14:paraId="2A617B6B">
      <w:pPr>
        <w:numPr>
          <w:ilvl w:val="0"/>
          <w:numId w:val="9"/>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为本项目提供整体设计、规范编制或者项目管理、 监理、 检测等服务；</w:t>
      </w:r>
    </w:p>
    <w:p w14:paraId="1B3D1A48">
      <w:pPr>
        <w:numPr>
          <w:ilvl w:val="0"/>
          <w:numId w:val="0"/>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参与同一项目竞争，</w:t>
      </w:r>
      <w:r>
        <w:rPr>
          <w:rFonts w:hint="eastAsia" w:ascii="宋体" w:hAnsi="宋体" w:cs="宋体"/>
          <w:snapToGrid w:val="0"/>
          <w:color w:val="000000"/>
          <w:kern w:val="0"/>
          <w:sz w:val="24"/>
          <w:highlight w:val="none"/>
        </w:rPr>
        <w:t>并对此声明承担相应的法律责任。</w:t>
      </w:r>
    </w:p>
    <w:p w14:paraId="4EDB2C63">
      <w:pPr>
        <w:spacing w:line="360" w:lineRule="auto"/>
        <w:ind w:firstLine="480" w:firstLineChars="200"/>
        <w:rPr>
          <w:rFonts w:hint="eastAsia" w:ascii="宋体" w:hAnsi="宋体" w:cs="宋体"/>
          <w:snapToGrid w:val="0"/>
          <w:color w:val="000000"/>
          <w:kern w:val="0"/>
          <w:sz w:val="24"/>
          <w:highlight w:val="none"/>
        </w:rPr>
      </w:pPr>
    </w:p>
    <w:p w14:paraId="20D11C3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22D641C7">
      <w:pPr>
        <w:adjustRightInd w:val="0"/>
        <w:snapToGrid w:val="0"/>
        <w:spacing w:before="624" w:beforeLines="200" w:line="360" w:lineRule="auto"/>
        <w:ind w:right="480"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16EC755F">
      <w:pPr>
        <w:adjustRightInd w:val="0"/>
        <w:snapToGrid w:val="0"/>
        <w:spacing w:line="360" w:lineRule="auto"/>
        <w:ind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11C59F8">
      <w:pPr>
        <w:spacing w:line="360" w:lineRule="auto"/>
        <w:ind w:firstLine="4200" w:firstLineChars="1750"/>
        <w:jc w:val="both"/>
        <w:rPr>
          <w:rFonts w:hint="eastAsia" w:ascii="宋体" w:hAnsi="宋体" w:cs="宋体"/>
          <w:color w:val="000000"/>
          <w:highlight w:val="none"/>
        </w:rPr>
      </w:pPr>
      <w:r>
        <w:rPr>
          <w:rFonts w:hint="eastAsia" w:ascii="宋体" w:hAnsi="宋体" w:cs="宋体"/>
          <w:color w:val="000000"/>
          <w:sz w:val="24"/>
          <w:highlight w:val="none"/>
        </w:rPr>
        <w:t>日    期：</w:t>
      </w:r>
    </w:p>
    <w:p w14:paraId="1FFEDB51">
      <w:pPr>
        <w:spacing w:line="360" w:lineRule="auto"/>
        <w:rPr>
          <w:rFonts w:hint="eastAsia" w:ascii="宋体" w:hAnsi="宋体" w:cs="宋体"/>
          <w:b/>
          <w:color w:val="000000"/>
          <w:sz w:val="28"/>
          <w:szCs w:val="28"/>
          <w:highlight w:val="none"/>
        </w:rPr>
      </w:pPr>
    </w:p>
    <w:p w14:paraId="7CD0522F">
      <w:pPr>
        <w:spacing w:line="360" w:lineRule="auto"/>
        <w:rPr>
          <w:rFonts w:hint="eastAsia" w:ascii="宋体" w:hAnsi="宋体" w:cs="宋体"/>
          <w:b/>
          <w:color w:val="000000"/>
          <w:sz w:val="28"/>
          <w:szCs w:val="28"/>
          <w:highlight w:val="none"/>
          <w:lang w:val="hr-HR"/>
        </w:rPr>
      </w:pPr>
    </w:p>
    <w:p w14:paraId="06A033BE">
      <w:pPr>
        <w:spacing w:line="360" w:lineRule="auto"/>
        <w:rPr>
          <w:rFonts w:hint="eastAsia" w:ascii="宋体" w:hAnsi="宋体" w:cs="宋体"/>
          <w:b/>
          <w:color w:val="000000"/>
          <w:sz w:val="28"/>
          <w:szCs w:val="28"/>
          <w:highlight w:val="none"/>
          <w:lang w:val="hr-HR"/>
        </w:rPr>
      </w:pPr>
    </w:p>
    <w:p w14:paraId="0787365E">
      <w:pPr>
        <w:spacing w:line="360" w:lineRule="auto"/>
        <w:rPr>
          <w:rFonts w:hint="eastAsia" w:ascii="宋体" w:hAnsi="宋体" w:eastAsia="宋体" w:cs="宋体"/>
          <w:b/>
          <w:bCs/>
          <w:color w:val="000000"/>
          <w:kern w:val="2"/>
          <w:sz w:val="24"/>
          <w:szCs w:val="24"/>
          <w:highlight w:val="none"/>
          <w:lang w:val="en-US" w:eastAsia="zh-CN" w:bidi="ar-SA"/>
        </w:rPr>
      </w:pPr>
    </w:p>
    <w:p w14:paraId="3C832EDA">
      <w:pPr>
        <w:spacing w:line="360" w:lineRule="auto"/>
        <w:rPr>
          <w:rFonts w:hint="eastAsia" w:ascii="宋体" w:hAnsi="宋体" w:eastAsia="宋体" w:cs="宋体"/>
          <w:b/>
          <w:bCs/>
          <w:color w:val="000000"/>
          <w:kern w:val="2"/>
          <w:sz w:val="24"/>
          <w:szCs w:val="24"/>
          <w:highlight w:val="none"/>
          <w:lang w:val="en-US" w:eastAsia="zh-CN" w:bidi="ar-SA"/>
        </w:rPr>
      </w:pPr>
    </w:p>
    <w:p w14:paraId="7314F77E">
      <w:pPr>
        <w:spacing w:line="360" w:lineRule="auto"/>
        <w:rPr>
          <w:rFonts w:hint="eastAsia" w:ascii="宋体" w:hAnsi="宋体" w:eastAsia="宋体" w:cs="宋体"/>
          <w:b/>
          <w:bCs/>
          <w:color w:val="000000"/>
          <w:kern w:val="2"/>
          <w:sz w:val="24"/>
          <w:szCs w:val="24"/>
          <w:highlight w:val="none"/>
          <w:lang w:val="en-US" w:eastAsia="zh-CN" w:bidi="ar-SA"/>
        </w:rPr>
      </w:pPr>
    </w:p>
    <w:p w14:paraId="05A6FA4D">
      <w:pPr>
        <w:spacing w:line="360" w:lineRule="auto"/>
        <w:rPr>
          <w:rFonts w:hint="eastAsia" w:ascii="宋体" w:hAnsi="宋体" w:eastAsia="宋体" w:cs="宋体"/>
          <w:b/>
          <w:bCs/>
          <w:color w:val="000000"/>
          <w:kern w:val="2"/>
          <w:sz w:val="24"/>
          <w:szCs w:val="24"/>
          <w:highlight w:val="none"/>
          <w:lang w:val="en-US" w:eastAsia="zh-CN" w:bidi="ar-SA"/>
        </w:rPr>
      </w:pPr>
    </w:p>
    <w:p w14:paraId="1842E8E1">
      <w:pPr>
        <w:spacing w:line="360" w:lineRule="auto"/>
        <w:rPr>
          <w:rFonts w:hint="eastAsia" w:ascii="宋体" w:hAnsi="宋体" w:eastAsia="宋体" w:cs="宋体"/>
          <w:b/>
          <w:bCs/>
          <w:color w:val="000000"/>
          <w:kern w:val="2"/>
          <w:sz w:val="24"/>
          <w:szCs w:val="24"/>
          <w:highlight w:val="none"/>
          <w:lang w:val="en-US" w:eastAsia="zh-CN" w:bidi="ar-SA"/>
        </w:rPr>
      </w:pPr>
    </w:p>
    <w:p w14:paraId="698BA46D">
      <w:pPr>
        <w:spacing w:line="360" w:lineRule="auto"/>
        <w:rPr>
          <w:rFonts w:hint="eastAsia" w:ascii="宋体" w:hAnsi="宋体" w:eastAsia="宋体" w:cs="宋体"/>
          <w:b/>
          <w:bCs/>
          <w:color w:val="000000"/>
          <w:kern w:val="2"/>
          <w:sz w:val="28"/>
          <w:szCs w:val="28"/>
          <w:highlight w:val="none"/>
          <w:lang w:val="en-US" w:eastAsia="zh-CN" w:bidi="ar-SA"/>
        </w:rPr>
      </w:pPr>
    </w:p>
    <w:p w14:paraId="5BA31D1B">
      <w:pPr>
        <w:spacing w:line="360" w:lineRule="auto"/>
        <w:rPr>
          <w:rFonts w:hint="eastAsia" w:ascii="宋体" w:hAnsi="宋体" w:cs="宋体"/>
          <w:b/>
          <w:color w:val="000000"/>
          <w:sz w:val="28"/>
          <w:szCs w:val="28"/>
          <w:highlight w:val="none"/>
          <w:lang w:val="hr-HR"/>
        </w:rPr>
      </w:pPr>
      <w:r>
        <w:rPr>
          <w:rFonts w:hint="eastAsia" w:ascii="宋体" w:hAnsi="宋体" w:eastAsia="宋体" w:cs="宋体"/>
          <w:b/>
          <w:bCs/>
          <w:color w:val="000000"/>
          <w:kern w:val="2"/>
          <w:sz w:val="28"/>
          <w:szCs w:val="28"/>
          <w:highlight w:val="none"/>
          <w:lang w:val="en-US" w:eastAsia="zh-CN" w:bidi="ar-SA"/>
        </w:rPr>
        <w:t>2.3.5、已通过广东电力交易中心注册且具备交易资格的售电公司(响应文件须提供有效证明文件及售电牌照编码,证明文件上已显示售电牌照编码的,可不单独提供售电牌照编码)（提供证明文件）</w:t>
      </w:r>
    </w:p>
    <w:p w14:paraId="03C09C6E">
      <w:pPr>
        <w:spacing w:line="360" w:lineRule="auto"/>
        <w:rPr>
          <w:rFonts w:hint="eastAsia" w:ascii="宋体" w:hAnsi="宋体" w:cs="宋体"/>
          <w:b/>
          <w:color w:val="000000"/>
          <w:sz w:val="28"/>
          <w:szCs w:val="28"/>
          <w:highlight w:val="none"/>
          <w:lang w:val="hr-HR"/>
        </w:rPr>
      </w:pPr>
    </w:p>
    <w:p w14:paraId="351C48A8">
      <w:pPr>
        <w:spacing w:line="360" w:lineRule="auto"/>
        <w:rPr>
          <w:rFonts w:hint="eastAsia" w:ascii="宋体" w:hAnsi="宋体" w:cs="宋体"/>
          <w:b/>
          <w:color w:val="000000"/>
          <w:sz w:val="28"/>
          <w:szCs w:val="28"/>
          <w:highlight w:val="none"/>
          <w:lang w:val="hr-HR"/>
        </w:rPr>
      </w:pPr>
    </w:p>
    <w:p w14:paraId="3BE38F86">
      <w:pPr>
        <w:spacing w:line="360" w:lineRule="auto"/>
        <w:rPr>
          <w:rFonts w:hint="eastAsia" w:ascii="宋体" w:hAnsi="宋体" w:cs="宋体"/>
          <w:b/>
          <w:color w:val="000000"/>
          <w:sz w:val="28"/>
          <w:szCs w:val="28"/>
          <w:highlight w:val="none"/>
          <w:lang w:val="hr-HR"/>
        </w:rPr>
      </w:pPr>
    </w:p>
    <w:p w14:paraId="2F10221F">
      <w:pPr>
        <w:spacing w:line="360" w:lineRule="auto"/>
        <w:rPr>
          <w:rFonts w:hint="eastAsia" w:ascii="宋体" w:hAnsi="宋体" w:cs="宋体"/>
          <w:b/>
          <w:color w:val="000000"/>
          <w:sz w:val="28"/>
          <w:szCs w:val="28"/>
          <w:highlight w:val="none"/>
          <w:lang w:val="hr-HR"/>
        </w:rPr>
      </w:pPr>
    </w:p>
    <w:p w14:paraId="5E8BF3C9">
      <w:pPr>
        <w:pStyle w:val="9"/>
        <w:spacing w:line="360" w:lineRule="auto"/>
        <w:rPr>
          <w:rFonts w:hint="eastAsia"/>
          <w:color w:val="000000"/>
          <w:highlight w:val="none"/>
          <w:lang w:val="hr-HR"/>
        </w:rPr>
      </w:pPr>
    </w:p>
    <w:p w14:paraId="0005D6BD">
      <w:pPr>
        <w:adjustRightInd w:val="0"/>
        <w:snapToGrid w:val="0"/>
        <w:spacing w:line="360" w:lineRule="auto"/>
        <w:jc w:val="center"/>
        <w:outlineLvl w:val="1"/>
        <w:rPr>
          <w:rFonts w:hint="eastAsia" w:ascii="宋体" w:hAnsi="宋体" w:cs="宋体"/>
          <w:b/>
          <w:color w:val="000000"/>
          <w:sz w:val="32"/>
          <w:szCs w:val="32"/>
          <w:highlight w:val="none"/>
        </w:rPr>
      </w:pPr>
      <w:bookmarkStart w:id="9" w:name="_Toc9397"/>
      <w:bookmarkStart w:id="10" w:name="_Toc4215"/>
      <w:bookmarkStart w:id="11" w:name="_Toc26380"/>
    </w:p>
    <w:p w14:paraId="139CE6C5">
      <w:pPr>
        <w:adjustRightInd w:val="0"/>
        <w:snapToGrid w:val="0"/>
        <w:spacing w:line="360" w:lineRule="auto"/>
        <w:jc w:val="center"/>
        <w:outlineLvl w:val="1"/>
        <w:rPr>
          <w:rFonts w:hint="eastAsia" w:ascii="宋体" w:hAnsi="宋体" w:cs="宋体"/>
          <w:b/>
          <w:color w:val="000000"/>
          <w:sz w:val="32"/>
          <w:szCs w:val="32"/>
          <w:highlight w:val="none"/>
        </w:rPr>
      </w:pPr>
    </w:p>
    <w:p w14:paraId="45A3458F">
      <w:pPr>
        <w:adjustRightInd w:val="0"/>
        <w:snapToGrid w:val="0"/>
        <w:spacing w:line="360" w:lineRule="auto"/>
        <w:jc w:val="center"/>
        <w:outlineLvl w:val="1"/>
        <w:rPr>
          <w:rFonts w:hint="eastAsia" w:ascii="宋体" w:hAnsi="宋体" w:cs="宋体"/>
          <w:b/>
          <w:color w:val="000000"/>
          <w:sz w:val="32"/>
          <w:szCs w:val="32"/>
          <w:highlight w:val="none"/>
        </w:rPr>
      </w:pPr>
    </w:p>
    <w:p w14:paraId="6293211F">
      <w:pPr>
        <w:adjustRightInd w:val="0"/>
        <w:snapToGrid w:val="0"/>
        <w:spacing w:line="360" w:lineRule="auto"/>
        <w:jc w:val="center"/>
        <w:outlineLvl w:val="1"/>
        <w:rPr>
          <w:rFonts w:hint="eastAsia" w:ascii="宋体" w:hAnsi="宋体" w:cs="宋体"/>
          <w:b/>
          <w:color w:val="000000"/>
          <w:sz w:val="32"/>
          <w:szCs w:val="32"/>
          <w:highlight w:val="none"/>
        </w:rPr>
      </w:pPr>
    </w:p>
    <w:p w14:paraId="7FE4BD89">
      <w:pPr>
        <w:adjustRightInd w:val="0"/>
        <w:snapToGrid w:val="0"/>
        <w:spacing w:line="360" w:lineRule="auto"/>
        <w:jc w:val="center"/>
        <w:outlineLvl w:val="1"/>
        <w:rPr>
          <w:rFonts w:hint="eastAsia" w:ascii="宋体" w:hAnsi="宋体" w:cs="宋体"/>
          <w:b/>
          <w:color w:val="000000"/>
          <w:sz w:val="32"/>
          <w:szCs w:val="32"/>
          <w:highlight w:val="none"/>
        </w:rPr>
      </w:pPr>
    </w:p>
    <w:p w14:paraId="0B33764F">
      <w:pPr>
        <w:adjustRightInd w:val="0"/>
        <w:snapToGrid w:val="0"/>
        <w:spacing w:line="360" w:lineRule="auto"/>
        <w:jc w:val="center"/>
        <w:outlineLvl w:val="1"/>
        <w:rPr>
          <w:rFonts w:hint="eastAsia" w:ascii="宋体" w:hAnsi="宋体" w:cs="宋体"/>
          <w:b/>
          <w:color w:val="000000"/>
          <w:sz w:val="32"/>
          <w:szCs w:val="32"/>
          <w:highlight w:val="none"/>
        </w:rPr>
      </w:pPr>
    </w:p>
    <w:p w14:paraId="4C00266B">
      <w:pPr>
        <w:adjustRightInd w:val="0"/>
        <w:snapToGrid w:val="0"/>
        <w:spacing w:line="360" w:lineRule="auto"/>
        <w:jc w:val="center"/>
        <w:outlineLvl w:val="1"/>
        <w:rPr>
          <w:rFonts w:hint="eastAsia" w:ascii="宋体" w:hAnsi="宋体" w:cs="宋体"/>
          <w:b/>
          <w:color w:val="000000"/>
          <w:sz w:val="32"/>
          <w:szCs w:val="32"/>
          <w:highlight w:val="none"/>
        </w:rPr>
      </w:pPr>
    </w:p>
    <w:p w14:paraId="36F1FB1C">
      <w:pPr>
        <w:adjustRightInd w:val="0"/>
        <w:snapToGrid w:val="0"/>
        <w:spacing w:line="360" w:lineRule="auto"/>
        <w:jc w:val="center"/>
        <w:outlineLvl w:val="1"/>
        <w:rPr>
          <w:rFonts w:hint="eastAsia" w:ascii="宋体" w:hAnsi="宋体" w:cs="宋体"/>
          <w:b/>
          <w:color w:val="000000"/>
          <w:sz w:val="32"/>
          <w:szCs w:val="32"/>
          <w:highlight w:val="none"/>
        </w:rPr>
      </w:pPr>
    </w:p>
    <w:p w14:paraId="284DDBE7">
      <w:pPr>
        <w:adjustRightInd w:val="0"/>
        <w:snapToGrid w:val="0"/>
        <w:spacing w:line="360" w:lineRule="auto"/>
        <w:jc w:val="center"/>
        <w:outlineLvl w:val="1"/>
        <w:rPr>
          <w:rFonts w:hint="eastAsia" w:ascii="宋体" w:hAnsi="宋体" w:cs="宋体"/>
          <w:b/>
          <w:color w:val="000000"/>
          <w:sz w:val="32"/>
          <w:szCs w:val="32"/>
          <w:highlight w:val="none"/>
        </w:rPr>
      </w:pPr>
    </w:p>
    <w:p w14:paraId="75D2FD41">
      <w:pPr>
        <w:adjustRightInd w:val="0"/>
        <w:snapToGrid w:val="0"/>
        <w:spacing w:line="360" w:lineRule="auto"/>
        <w:jc w:val="center"/>
        <w:outlineLvl w:val="1"/>
        <w:rPr>
          <w:rFonts w:hint="eastAsia" w:ascii="宋体" w:hAnsi="宋体" w:cs="宋体"/>
          <w:b/>
          <w:color w:val="000000"/>
          <w:sz w:val="32"/>
          <w:szCs w:val="32"/>
          <w:highlight w:val="none"/>
        </w:rPr>
      </w:pPr>
    </w:p>
    <w:p w14:paraId="77FA0775">
      <w:pPr>
        <w:adjustRightInd w:val="0"/>
        <w:snapToGrid w:val="0"/>
        <w:spacing w:line="360" w:lineRule="auto"/>
        <w:jc w:val="center"/>
        <w:outlineLvl w:val="1"/>
        <w:rPr>
          <w:rFonts w:hint="eastAsia" w:ascii="宋体" w:hAnsi="宋体" w:cs="宋体"/>
          <w:b/>
          <w:color w:val="000000"/>
          <w:sz w:val="32"/>
          <w:szCs w:val="32"/>
          <w:highlight w:val="none"/>
        </w:rPr>
      </w:pPr>
    </w:p>
    <w:p w14:paraId="33BB9B7C">
      <w:pPr>
        <w:adjustRightInd w:val="0"/>
        <w:snapToGrid w:val="0"/>
        <w:spacing w:line="360" w:lineRule="auto"/>
        <w:jc w:val="center"/>
        <w:outlineLvl w:val="1"/>
        <w:rPr>
          <w:rFonts w:hint="eastAsia" w:ascii="宋体" w:hAnsi="宋体" w:cs="宋体"/>
          <w:b/>
          <w:color w:val="000000"/>
          <w:sz w:val="32"/>
          <w:szCs w:val="32"/>
          <w:highlight w:val="none"/>
        </w:rPr>
      </w:pPr>
    </w:p>
    <w:p w14:paraId="04913E4D">
      <w:pPr>
        <w:adjustRightInd w:val="0"/>
        <w:snapToGrid w:val="0"/>
        <w:spacing w:line="360" w:lineRule="auto"/>
        <w:jc w:val="center"/>
        <w:outlineLvl w:val="1"/>
        <w:rPr>
          <w:rFonts w:hint="eastAsia" w:ascii="宋体" w:hAnsi="宋体" w:cs="宋体"/>
          <w:b/>
          <w:color w:val="000000"/>
          <w:sz w:val="32"/>
          <w:szCs w:val="32"/>
          <w:highlight w:val="none"/>
        </w:rPr>
      </w:pPr>
    </w:p>
    <w:p w14:paraId="3F630516">
      <w:pPr>
        <w:adjustRightInd w:val="0"/>
        <w:snapToGrid w:val="0"/>
        <w:spacing w:line="360" w:lineRule="auto"/>
        <w:jc w:val="center"/>
        <w:outlineLvl w:val="1"/>
        <w:rPr>
          <w:rFonts w:hint="eastAsia" w:ascii="宋体" w:hAnsi="宋体" w:cs="宋体"/>
          <w:b/>
          <w:color w:val="000000"/>
          <w:sz w:val="32"/>
          <w:szCs w:val="32"/>
          <w:highlight w:val="none"/>
        </w:rPr>
      </w:pPr>
    </w:p>
    <w:p w14:paraId="1E2964C9">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rPr>
        <w:t>三、商务部分</w:t>
      </w:r>
      <w:bookmarkEnd w:id="9"/>
      <w:bookmarkEnd w:id="10"/>
      <w:bookmarkEnd w:id="11"/>
    </w:p>
    <w:p w14:paraId="491E4A75">
      <w:pPr>
        <w:adjustRightInd w:val="0"/>
        <w:snapToGrid w:val="0"/>
        <w:spacing w:line="360" w:lineRule="auto"/>
        <w:jc w:val="center"/>
        <w:rPr>
          <w:rFonts w:hint="eastAsia" w:ascii="宋体" w:hAnsi="宋体" w:cs="宋体"/>
          <w:b/>
          <w:color w:val="000000"/>
          <w:sz w:val="32"/>
          <w:szCs w:val="32"/>
          <w:highlight w:val="none"/>
        </w:rPr>
      </w:pPr>
    </w:p>
    <w:p w14:paraId="471BA3EA">
      <w:pPr>
        <w:spacing w:line="360" w:lineRule="auto"/>
        <w:rPr>
          <w:rFonts w:hint="eastAsia" w:ascii="宋体" w:hAnsi="宋体" w:cs="宋体"/>
          <w:b/>
          <w:color w:val="000000"/>
          <w:sz w:val="24"/>
          <w:highlight w:val="none"/>
        </w:rPr>
      </w:pPr>
      <w:r>
        <w:rPr>
          <w:rFonts w:hint="eastAsia" w:ascii="宋体" w:hAnsi="宋体" w:cs="宋体"/>
          <w:b/>
          <w:color w:val="000000"/>
          <w:sz w:val="24"/>
          <w:szCs w:val="24"/>
          <w:highlight w:val="none"/>
        </w:rPr>
        <w:t>3.1、响应</w:t>
      </w:r>
      <w:r>
        <w:rPr>
          <w:rFonts w:hint="eastAsia" w:ascii="宋体" w:hAnsi="宋体" w:cs="宋体"/>
          <w:b/>
          <w:color w:val="000000"/>
          <w:sz w:val="24"/>
          <w:szCs w:val="24"/>
          <w:highlight w:val="none"/>
          <w:lang w:eastAsia="zh-CN"/>
        </w:rPr>
        <w:t>服务</w:t>
      </w:r>
      <w:r>
        <w:rPr>
          <w:rFonts w:hint="eastAsia" w:ascii="宋体" w:hAnsi="宋体" w:cs="宋体"/>
          <w:b/>
          <w:color w:val="000000"/>
          <w:sz w:val="24"/>
          <w:szCs w:val="24"/>
          <w:highlight w:val="none"/>
        </w:rPr>
        <w:t>商公司概况：</w:t>
      </w:r>
      <w:r>
        <w:rPr>
          <w:rFonts w:hint="eastAsia" w:ascii="宋体" w:hAnsi="宋体" w:cs="宋体"/>
          <w:b/>
          <w:color w:val="000000"/>
          <w:sz w:val="28"/>
          <w:szCs w:val="28"/>
          <w:highlight w:val="none"/>
        </w:rPr>
        <w:t>（</w:t>
      </w:r>
      <w:r>
        <w:rPr>
          <w:rFonts w:hint="eastAsia" w:ascii="宋体" w:hAnsi="宋体" w:cs="宋体"/>
          <w:bCs/>
          <w:snapToGrid w:val="0"/>
          <w:color w:val="000000"/>
          <w:kern w:val="0"/>
          <w:sz w:val="24"/>
          <w:highlight w:val="none"/>
        </w:rPr>
        <w:t>包括但不限于以下各项的内容）</w:t>
      </w:r>
    </w:p>
    <w:p w14:paraId="3699FDC9">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商的公司简介或基本情况说明（内容自拟）；</w:t>
      </w:r>
    </w:p>
    <w:p w14:paraId="4B5475C5">
      <w:pPr>
        <w:spacing w:line="360" w:lineRule="auto"/>
        <w:rPr>
          <w:rFonts w:hint="eastAsia" w:ascii="宋体" w:hAnsi="宋体" w:cs="宋体"/>
          <w:color w:val="000000"/>
          <w:sz w:val="24"/>
          <w:highlight w:val="none"/>
        </w:rPr>
      </w:pPr>
    </w:p>
    <w:p w14:paraId="432D85F1">
      <w:pPr>
        <w:spacing w:line="360" w:lineRule="auto"/>
        <w:rPr>
          <w:rFonts w:hint="eastAsia" w:ascii="宋体" w:hAnsi="宋体" w:cs="宋体"/>
          <w:color w:val="000000"/>
          <w:sz w:val="24"/>
          <w:highlight w:val="none"/>
        </w:rPr>
      </w:pPr>
    </w:p>
    <w:p w14:paraId="6D6B5935">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获得的企业相关荣誉、各种资质/信誉证明、证书和客户评价或其他资料等；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660"/>
        <w:gridCol w:w="2035"/>
        <w:gridCol w:w="1696"/>
        <w:gridCol w:w="1891"/>
      </w:tblGrid>
      <w:tr w14:paraId="250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4" w:type="dxa"/>
            <w:noWrap w:val="0"/>
            <w:vAlign w:val="top"/>
          </w:tcPr>
          <w:p w14:paraId="33F41C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2660" w:type="dxa"/>
            <w:noWrap w:val="0"/>
            <w:vAlign w:val="top"/>
          </w:tcPr>
          <w:p w14:paraId="03DC3ED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2035" w:type="dxa"/>
            <w:noWrap w:val="0"/>
            <w:vAlign w:val="top"/>
          </w:tcPr>
          <w:p w14:paraId="008C677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颁奖部门</w:t>
            </w:r>
          </w:p>
        </w:tc>
        <w:tc>
          <w:tcPr>
            <w:tcW w:w="1696" w:type="dxa"/>
            <w:noWrap w:val="0"/>
            <w:vAlign w:val="top"/>
          </w:tcPr>
          <w:p w14:paraId="14C0DF3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颁奖日期</w:t>
            </w:r>
          </w:p>
        </w:tc>
        <w:tc>
          <w:tcPr>
            <w:tcW w:w="1891" w:type="dxa"/>
            <w:noWrap w:val="0"/>
            <w:vAlign w:val="top"/>
          </w:tcPr>
          <w:p w14:paraId="71AA38A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78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3E4EEF16">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660" w:type="dxa"/>
            <w:noWrap w:val="0"/>
            <w:vAlign w:val="center"/>
          </w:tcPr>
          <w:p w14:paraId="28FB97BC">
            <w:pPr>
              <w:spacing w:line="360" w:lineRule="auto"/>
              <w:jc w:val="center"/>
              <w:rPr>
                <w:rFonts w:hint="eastAsia" w:ascii="宋体" w:hAnsi="宋体" w:cs="宋体"/>
                <w:color w:val="000000"/>
                <w:sz w:val="24"/>
                <w:highlight w:val="none"/>
              </w:rPr>
            </w:pPr>
          </w:p>
        </w:tc>
        <w:tc>
          <w:tcPr>
            <w:tcW w:w="2035" w:type="dxa"/>
            <w:noWrap w:val="0"/>
            <w:vAlign w:val="top"/>
          </w:tcPr>
          <w:p w14:paraId="0B11CDF0">
            <w:pPr>
              <w:spacing w:line="360" w:lineRule="auto"/>
              <w:jc w:val="center"/>
              <w:rPr>
                <w:rFonts w:hint="eastAsia" w:ascii="宋体" w:hAnsi="宋体" w:cs="宋体"/>
                <w:color w:val="000000"/>
                <w:sz w:val="24"/>
                <w:highlight w:val="none"/>
              </w:rPr>
            </w:pPr>
          </w:p>
        </w:tc>
        <w:tc>
          <w:tcPr>
            <w:tcW w:w="1696" w:type="dxa"/>
            <w:noWrap w:val="0"/>
            <w:vAlign w:val="top"/>
          </w:tcPr>
          <w:p w14:paraId="4F5AA301">
            <w:pPr>
              <w:spacing w:line="360" w:lineRule="auto"/>
              <w:jc w:val="center"/>
              <w:rPr>
                <w:rFonts w:hint="eastAsia" w:ascii="宋体" w:hAnsi="宋体" w:cs="宋体"/>
                <w:color w:val="000000"/>
                <w:sz w:val="24"/>
                <w:highlight w:val="none"/>
              </w:rPr>
            </w:pPr>
          </w:p>
        </w:tc>
        <w:tc>
          <w:tcPr>
            <w:tcW w:w="1891" w:type="dxa"/>
            <w:noWrap w:val="0"/>
            <w:vAlign w:val="top"/>
          </w:tcPr>
          <w:p w14:paraId="1BFE1A98">
            <w:pPr>
              <w:spacing w:line="360" w:lineRule="auto"/>
              <w:jc w:val="center"/>
              <w:rPr>
                <w:rFonts w:hint="eastAsia" w:ascii="宋体" w:hAnsi="宋体" w:cs="宋体"/>
                <w:color w:val="000000"/>
                <w:sz w:val="24"/>
                <w:highlight w:val="none"/>
              </w:rPr>
            </w:pPr>
          </w:p>
        </w:tc>
      </w:tr>
      <w:tr w14:paraId="2F6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6BE415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660" w:type="dxa"/>
            <w:noWrap w:val="0"/>
            <w:vAlign w:val="top"/>
          </w:tcPr>
          <w:p w14:paraId="3B8B8EBE">
            <w:pPr>
              <w:spacing w:line="360" w:lineRule="auto"/>
              <w:jc w:val="center"/>
              <w:rPr>
                <w:rFonts w:hint="eastAsia" w:ascii="宋体" w:hAnsi="宋体" w:cs="宋体"/>
                <w:color w:val="000000"/>
                <w:sz w:val="24"/>
                <w:highlight w:val="none"/>
              </w:rPr>
            </w:pPr>
          </w:p>
        </w:tc>
        <w:tc>
          <w:tcPr>
            <w:tcW w:w="2035" w:type="dxa"/>
            <w:noWrap w:val="0"/>
            <w:vAlign w:val="top"/>
          </w:tcPr>
          <w:p w14:paraId="4D7663A6">
            <w:pPr>
              <w:spacing w:line="360" w:lineRule="auto"/>
              <w:jc w:val="center"/>
              <w:rPr>
                <w:rFonts w:hint="eastAsia" w:ascii="宋体" w:hAnsi="宋体" w:cs="宋体"/>
                <w:color w:val="000000"/>
                <w:sz w:val="24"/>
                <w:highlight w:val="none"/>
              </w:rPr>
            </w:pPr>
          </w:p>
        </w:tc>
        <w:tc>
          <w:tcPr>
            <w:tcW w:w="1696" w:type="dxa"/>
            <w:noWrap w:val="0"/>
            <w:vAlign w:val="top"/>
          </w:tcPr>
          <w:p w14:paraId="39440578">
            <w:pPr>
              <w:spacing w:line="360" w:lineRule="auto"/>
              <w:jc w:val="center"/>
              <w:rPr>
                <w:rFonts w:hint="eastAsia" w:ascii="宋体" w:hAnsi="宋体" w:cs="宋体"/>
                <w:color w:val="000000"/>
                <w:sz w:val="24"/>
                <w:highlight w:val="none"/>
              </w:rPr>
            </w:pPr>
          </w:p>
        </w:tc>
        <w:tc>
          <w:tcPr>
            <w:tcW w:w="1891" w:type="dxa"/>
            <w:noWrap w:val="0"/>
            <w:vAlign w:val="top"/>
          </w:tcPr>
          <w:p w14:paraId="70BE4F17">
            <w:pPr>
              <w:spacing w:line="360" w:lineRule="auto"/>
              <w:jc w:val="center"/>
              <w:rPr>
                <w:rFonts w:hint="eastAsia" w:ascii="宋体" w:hAnsi="宋体" w:cs="宋体"/>
                <w:color w:val="000000"/>
                <w:sz w:val="24"/>
                <w:highlight w:val="none"/>
              </w:rPr>
            </w:pPr>
          </w:p>
        </w:tc>
      </w:tr>
      <w:tr w14:paraId="3D33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0CE0257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2660" w:type="dxa"/>
            <w:noWrap w:val="0"/>
            <w:vAlign w:val="top"/>
          </w:tcPr>
          <w:p w14:paraId="0C862840">
            <w:pPr>
              <w:spacing w:line="360" w:lineRule="auto"/>
              <w:jc w:val="center"/>
              <w:rPr>
                <w:rFonts w:hint="eastAsia" w:ascii="宋体" w:hAnsi="宋体" w:cs="宋体"/>
                <w:color w:val="000000"/>
                <w:sz w:val="24"/>
                <w:highlight w:val="none"/>
              </w:rPr>
            </w:pPr>
          </w:p>
        </w:tc>
        <w:tc>
          <w:tcPr>
            <w:tcW w:w="2035" w:type="dxa"/>
            <w:noWrap w:val="0"/>
            <w:vAlign w:val="top"/>
          </w:tcPr>
          <w:p w14:paraId="31483B1E">
            <w:pPr>
              <w:spacing w:line="360" w:lineRule="auto"/>
              <w:jc w:val="center"/>
              <w:rPr>
                <w:rFonts w:hint="eastAsia" w:ascii="宋体" w:hAnsi="宋体" w:cs="宋体"/>
                <w:color w:val="000000"/>
                <w:sz w:val="24"/>
                <w:highlight w:val="none"/>
              </w:rPr>
            </w:pPr>
          </w:p>
        </w:tc>
        <w:tc>
          <w:tcPr>
            <w:tcW w:w="1696" w:type="dxa"/>
            <w:noWrap w:val="0"/>
            <w:vAlign w:val="top"/>
          </w:tcPr>
          <w:p w14:paraId="04E5DC79">
            <w:pPr>
              <w:spacing w:line="360" w:lineRule="auto"/>
              <w:jc w:val="center"/>
              <w:rPr>
                <w:rFonts w:hint="eastAsia" w:ascii="宋体" w:hAnsi="宋体" w:cs="宋体"/>
                <w:color w:val="000000"/>
                <w:sz w:val="24"/>
                <w:highlight w:val="none"/>
              </w:rPr>
            </w:pPr>
          </w:p>
        </w:tc>
        <w:tc>
          <w:tcPr>
            <w:tcW w:w="1891" w:type="dxa"/>
            <w:noWrap w:val="0"/>
            <w:vAlign w:val="top"/>
          </w:tcPr>
          <w:p w14:paraId="4F1FA745">
            <w:pPr>
              <w:spacing w:line="360" w:lineRule="auto"/>
              <w:jc w:val="center"/>
              <w:rPr>
                <w:rFonts w:hint="eastAsia" w:ascii="宋体" w:hAnsi="宋体" w:cs="宋体"/>
                <w:color w:val="000000"/>
                <w:sz w:val="24"/>
                <w:highlight w:val="none"/>
              </w:rPr>
            </w:pPr>
          </w:p>
        </w:tc>
      </w:tr>
      <w:tr w14:paraId="5BE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51A2514B">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2660" w:type="dxa"/>
            <w:noWrap w:val="0"/>
            <w:vAlign w:val="top"/>
          </w:tcPr>
          <w:p w14:paraId="42444F8E">
            <w:pPr>
              <w:spacing w:line="360" w:lineRule="auto"/>
              <w:jc w:val="center"/>
              <w:rPr>
                <w:rFonts w:hint="eastAsia" w:ascii="宋体" w:hAnsi="宋体" w:cs="宋体"/>
                <w:color w:val="000000"/>
                <w:sz w:val="24"/>
                <w:highlight w:val="none"/>
              </w:rPr>
            </w:pPr>
          </w:p>
        </w:tc>
        <w:tc>
          <w:tcPr>
            <w:tcW w:w="2035" w:type="dxa"/>
            <w:noWrap w:val="0"/>
            <w:vAlign w:val="top"/>
          </w:tcPr>
          <w:p w14:paraId="46CDDA63">
            <w:pPr>
              <w:spacing w:line="360" w:lineRule="auto"/>
              <w:jc w:val="center"/>
              <w:rPr>
                <w:rFonts w:hint="eastAsia" w:ascii="宋体" w:hAnsi="宋体" w:cs="宋体"/>
                <w:color w:val="000000"/>
                <w:sz w:val="24"/>
                <w:highlight w:val="none"/>
              </w:rPr>
            </w:pPr>
          </w:p>
        </w:tc>
        <w:tc>
          <w:tcPr>
            <w:tcW w:w="1696" w:type="dxa"/>
            <w:noWrap w:val="0"/>
            <w:vAlign w:val="top"/>
          </w:tcPr>
          <w:p w14:paraId="0D3C6C03">
            <w:pPr>
              <w:spacing w:line="360" w:lineRule="auto"/>
              <w:jc w:val="center"/>
              <w:rPr>
                <w:rFonts w:hint="eastAsia" w:ascii="宋体" w:hAnsi="宋体" w:cs="宋体"/>
                <w:color w:val="000000"/>
                <w:sz w:val="24"/>
                <w:highlight w:val="none"/>
              </w:rPr>
            </w:pPr>
          </w:p>
        </w:tc>
        <w:tc>
          <w:tcPr>
            <w:tcW w:w="1891" w:type="dxa"/>
            <w:noWrap w:val="0"/>
            <w:vAlign w:val="top"/>
          </w:tcPr>
          <w:p w14:paraId="5B274F86">
            <w:pPr>
              <w:spacing w:line="360" w:lineRule="auto"/>
              <w:jc w:val="center"/>
              <w:rPr>
                <w:rFonts w:hint="eastAsia" w:ascii="宋体" w:hAnsi="宋体" w:cs="宋体"/>
                <w:color w:val="000000"/>
                <w:sz w:val="24"/>
                <w:highlight w:val="none"/>
              </w:rPr>
            </w:pPr>
          </w:p>
        </w:tc>
      </w:tr>
    </w:tbl>
    <w:p w14:paraId="3259CE11">
      <w:pPr>
        <w:spacing w:line="360" w:lineRule="auto"/>
        <w:rPr>
          <w:rFonts w:hint="eastAsia" w:ascii="宋体" w:hAnsi="宋体" w:cs="宋体"/>
          <w:color w:val="000000"/>
          <w:sz w:val="24"/>
          <w:highlight w:val="none"/>
        </w:rPr>
      </w:pPr>
    </w:p>
    <w:p w14:paraId="5B373FAC">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项目管理人员与技术人员情况；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7"/>
        <w:gridCol w:w="1358"/>
        <w:gridCol w:w="2374"/>
        <w:gridCol w:w="1918"/>
        <w:gridCol w:w="1330"/>
      </w:tblGrid>
      <w:tr w14:paraId="511989DB">
        <w:tblPrEx>
          <w:tblCellMar>
            <w:top w:w="0" w:type="dxa"/>
            <w:left w:w="108" w:type="dxa"/>
            <w:bottom w:w="0" w:type="dxa"/>
            <w:right w:w="108" w:type="dxa"/>
          </w:tblCellMar>
        </w:tblPrEx>
        <w:trPr>
          <w:trHeight w:val="624" w:hRule="atLeast"/>
        </w:trPr>
        <w:tc>
          <w:tcPr>
            <w:tcW w:w="859" w:type="dxa"/>
            <w:noWrap w:val="0"/>
            <w:vAlign w:val="top"/>
          </w:tcPr>
          <w:p w14:paraId="67D232C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47" w:type="dxa"/>
            <w:noWrap w:val="0"/>
            <w:vAlign w:val="top"/>
          </w:tcPr>
          <w:p w14:paraId="6CD0E53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姓  名</w:t>
            </w:r>
          </w:p>
        </w:tc>
        <w:tc>
          <w:tcPr>
            <w:tcW w:w="1358" w:type="dxa"/>
            <w:noWrap w:val="0"/>
            <w:vAlign w:val="top"/>
          </w:tcPr>
          <w:p w14:paraId="72EC755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职  务</w:t>
            </w:r>
          </w:p>
        </w:tc>
        <w:tc>
          <w:tcPr>
            <w:tcW w:w="2374" w:type="dxa"/>
            <w:noWrap w:val="0"/>
            <w:vAlign w:val="top"/>
          </w:tcPr>
          <w:p w14:paraId="5834AE2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持何种资格证件</w:t>
            </w:r>
          </w:p>
        </w:tc>
        <w:tc>
          <w:tcPr>
            <w:tcW w:w="1918" w:type="dxa"/>
            <w:noWrap w:val="0"/>
            <w:vAlign w:val="top"/>
          </w:tcPr>
          <w:p w14:paraId="599A125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从事本工作时间</w:t>
            </w:r>
          </w:p>
        </w:tc>
        <w:tc>
          <w:tcPr>
            <w:tcW w:w="1330" w:type="dxa"/>
            <w:noWrap w:val="0"/>
            <w:vAlign w:val="top"/>
          </w:tcPr>
          <w:p w14:paraId="251FD1D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606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483FD2C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447" w:type="dxa"/>
            <w:noWrap w:val="0"/>
            <w:vAlign w:val="center"/>
          </w:tcPr>
          <w:p w14:paraId="50E26168">
            <w:pPr>
              <w:spacing w:line="360" w:lineRule="auto"/>
              <w:jc w:val="center"/>
              <w:rPr>
                <w:rFonts w:hint="eastAsia" w:ascii="宋体" w:hAnsi="宋体" w:cs="宋体"/>
                <w:color w:val="000000"/>
                <w:sz w:val="24"/>
                <w:highlight w:val="none"/>
              </w:rPr>
            </w:pPr>
          </w:p>
        </w:tc>
        <w:tc>
          <w:tcPr>
            <w:tcW w:w="1358" w:type="dxa"/>
            <w:noWrap w:val="0"/>
            <w:vAlign w:val="top"/>
          </w:tcPr>
          <w:p w14:paraId="5A96D3A0">
            <w:pPr>
              <w:spacing w:line="360" w:lineRule="auto"/>
              <w:jc w:val="center"/>
              <w:rPr>
                <w:rFonts w:hint="eastAsia" w:ascii="宋体" w:hAnsi="宋体" w:cs="宋体"/>
                <w:color w:val="000000"/>
                <w:sz w:val="24"/>
                <w:highlight w:val="none"/>
              </w:rPr>
            </w:pPr>
          </w:p>
        </w:tc>
        <w:tc>
          <w:tcPr>
            <w:tcW w:w="2374" w:type="dxa"/>
            <w:noWrap w:val="0"/>
            <w:vAlign w:val="top"/>
          </w:tcPr>
          <w:p w14:paraId="2FC2D8A1">
            <w:pPr>
              <w:spacing w:line="360" w:lineRule="auto"/>
              <w:jc w:val="center"/>
              <w:rPr>
                <w:rFonts w:hint="eastAsia" w:ascii="宋体" w:hAnsi="宋体" w:cs="宋体"/>
                <w:color w:val="000000"/>
                <w:sz w:val="24"/>
                <w:highlight w:val="none"/>
              </w:rPr>
            </w:pPr>
          </w:p>
        </w:tc>
        <w:tc>
          <w:tcPr>
            <w:tcW w:w="1918" w:type="dxa"/>
            <w:noWrap w:val="0"/>
            <w:vAlign w:val="top"/>
          </w:tcPr>
          <w:p w14:paraId="1A0A8544">
            <w:pPr>
              <w:spacing w:line="360" w:lineRule="auto"/>
              <w:jc w:val="center"/>
              <w:rPr>
                <w:rFonts w:hint="eastAsia" w:ascii="宋体" w:hAnsi="宋体" w:cs="宋体"/>
                <w:color w:val="000000"/>
                <w:sz w:val="24"/>
                <w:highlight w:val="none"/>
              </w:rPr>
            </w:pPr>
          </w:p>
        </w:tc>
        <w:tc>
          <w:tcPr>
            <w:tcW w:w="1330" w:type="dxa"/>
            <w:noWrap w:val="0"/>
            <w:vAlign w:val="top"/>
          </w:tcPr>
          <w:p w14:paraId="71F96968">
            <w:pPr>
              <w:spacing w:line="360" w:lineRule="auto"/>
              <w:jc w:val="center"/>
              <w:rPr>
                <w:rFonts w:hint="eastAsia" w:ascii="宋体" w:hAnsi="宋体" w:cs="宋体"/>
                <w:color w:val="000000"/>
                <w:sz w:val="24"/>
                <w:highlight w:val="none"/>
              </w:rPr>
            </w:pPr>
          </w:p>
        </w:tc>
      </w:tr>
      <w:tr w14:paraId="2A4B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254F9C1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447" w:type="dxa"/>
            <w:noWrap w:val="0"/>
            <w:vAlign w:val="top"/>
          </w:tcPr>
          <w:p w14:paraId="36E58152">
            <w:pPr>
              <w:spacing w:line="360" w:lineRule="auto"/>
              <w:jc w:val="center"/>
              <w:rPr>
                <w:rFonts w:hint="eastAsia" w:ascii="宋体" w:hAnsi="宋体" w:cs="宋体"/>
                <w:color w:val="000000"/>
                <w:sz w:val="24"/>
                <w:highlight w:val="none"/>
              </w:rPr>
            </w:pPr>
          </w:p>
        </w:tc>
        <w:tc>
          <w:tcPr>
            <w:tcW w:w="1358" w:type="dxa"/>
            <w:noWrap w:val="0"/>
            <w:vAlign w:val="top"/>
          </w:tcPr>
          <w:p w14:paraId="33D2A5EF">
            <w:pPr>
              <w:spacing w:line="360" w:lineRule="auto"/>
              <w:jc w:val="center"/>
              <w:rPr>
                <w:rFonts w:hint="eastAsia" w:ascii="宋体" w:hAnsi="宋体" w:cs="宋体"/>
                <w:color w:val="000000"/>
                <w:sz w:val="24"/>
                <w:highlight w:val="none"/>
              </w:rPr>
            </w:pPr>
          </w:p>
        </w:tc>
        <w:tc>
          <w:tcPr>
            <w:tcW w:w="2374" w:type="dxa"/>
            <w:noWrap w:val="0"/>
            <w:vAlign w:val="top"/>
          </w:tcPr>
          <w:p w14:paraId="64E2329B">
            <w:pPr>
              <w:spacing w:line="360" w:lineRule="auto"/>
              <w:jc w:val="center"/>
              <w:rPr>
                <w:rFonts w:hint="eastAsia" w:ascii="宋体" w:hAnsi="宋体" w:cs="宋体"/>
                <w:color w:val="000000"/>
                <w:sz w:val="24"/>
                <w:highlight w:val="none"/>
              </w:rPr>
            </w:pPr>
          </w:p>
        </w:tc>
        <w:tc>
          <w:tcPr>
            <w:tcW w:w="1918" w:type="dxa"/>
            <w:noWrap w:val="0"/>
            <w:vAlign w:val="top"/>
          </w:tcPr>
          <w:p w14:paraId="3F6C7405">
            <w:pPr>
              <w:spacing w:line="360" w:lineRule="auto"/>
              <w:jc w:val="center"/>
              <w:rPr>
                <w:rFonts w:hint="eastAsia" w:ascii="宋体" w:hAnsi="宋体" w:cs="宋体"/>
                <w:color w:val="000000"/>
                <w:sz w:val="24"/>
                <w:highlight w:val="none"/>
              </w:rPr>
            </w:pPr>
          </w:p>
        </w:tc>
        <w:tc>
          <w:tcPr>
            <w:tcW w:w="1330" w:type="dxa"/>
            <w:noWrap w:val="0"/>
            <w:vAlign w:val="top"/>
          </w:tcPr>
          <w:p w14:paraId="086EC428">
            <w:pPr>
              <w:spacing w:line="360" w:lineRule="auto"/>
              <w:jc w:val="center"/>
              <w:rPr>
                <w:rFonts w:hint="eastAsia" w:ascii="宋体" w:hAnsi="宋体" w:cs="宋体"/>
                <w:color w:val="000000"/>
                <w:sz w:val="24"/>
                <w:highlight w:val="none"/>
              </w:rPr>
            </w:pPr>
          </w:p>
        </w:tc>
      </w:tr>
      <w:tr w14:paraId="4B5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33276D0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447" w:type="dxa"/>
            <w:noWrap w:val="0"/>
            <w:vAlign w:val="top"/>
          </w:tcPr>
          <w:p w14:paraId="440559A9">
            <w:pPr>
              <w:spacing w:line="360" w:lineRule="auto"/>
              <w:jc w:val="center"/>
              <w:rPr>
                <w:rFonts w:hint="eastAsia" w:ascii="宋体" w:hAnsi="宋体" w:cs="宋体"/>
                <w:color w:val="000000"/>
                <w:sz w:val="24"/>
                <w:highlight w:val="none"/>
              </w:rPr>
            </w:pPr>
          </w:p>
        </w:tc>
        <w:tc>
          <w:tcPr>
            <w:tcW w:w="1358" w:type="dxa"/>
            <w:noWrap w:val="0"/>
            <w:vAlign w:val="top"/>
          </w:tcPr>
          <w:p w14:paraId="33AE2BD1">
            <w:pPr>
              <w:spacing w:line="360" w:lineRule="auto"/>
              <w:jc w:val="center"/>
              <w:rPr>
                <w:rFonts w:hint="eastAsia" w:ascii="宋体" w:hAnsi="宋体" w:cs="宋体"/>
                <w:color w:val="000000"/>
                <w:sz w:val="24"/>
                <w:highlight w:val="none"/>
              </w:rPr>
            </w:pPr>
          </w:p>
        </w:tc>
        <w:tc>
          <w:tcPr>
            <w:tcW w:w="2374" w:type="dxa"/>
            <w:noWrap w:val="0"/>
            <w:vAlign w:val="top"/>
          </w:tcPr>
          <w:p w14:paraId="347EF708">
            <w:pPr>
              <w:spacing w:line="360" w:lineRule="auto"/>
              <w:jc w:val="center"/>
              <w:rPr>
                <w:rFonts w:hint="eastAsia" w:ascii="宋体" w:hAnsi="宋体" w:cs="宋体"/>
                <w:color w:val="000000"/>
                <w:sz w:val="24"/>
                <w:highlight w:val="none"/>
              </w:rPr>
            </w:pPr>
          </w:p>
        </w:tc>
        <w:tc>
          <w:tcPr>
            <w:tcW w:w="1918" w:type="dxa"/>
            <w:noWrap w:val="0"/>
            <w:vAlign w:val="top"/>
          </w:tcPr>
          <w:p w14:paraId="0A15FD2E">
            <w:pPr>
              <w:spacing w:line="360" w:lineRule="auto"/>
              <w:jc w:val="center"/>
              <w:rPr>
                <w:rFonts w:hint="eastAsia" w:ascii="宋体" w:hAnsi="宋体" w:cs="宋体"/>
                <w:color w:val="000000"/>
                <w:sz w:val="24"/>
                <w:highlight w:val="none"/>
              </w:rPr>
            </w:pPr>
          </w:p>
        </w:tc>
        <w:tc>
          <w:tcPr>
            <w:tcW w:w="1330" w:type="dxa"/>
            <w:noWrap w:val="0"/>
            <w:vAlign w:val="top"/>
          </w:tcPr>
          <w:p w14:paraId="3BF76382">
            <w:pPr>
              <w:spacing w:line="360" w:lineRule="auto"/>
              <w:jc w:val="center"/>
              <w:rPr>
                <w:rFonts w:hint="eastAsia" w:ascii="宋体" w:hAnsi="宋体" w:cs="宋体"/>
                <w:color w:val="000000"/>
                <w:sz w:val="24"/>
                <w:highlight w:val="none"/>
              </w:rPr>
            </w:pPr>
          </w:p>
        </w:tc>
      </w:tr>
      <w:tr w14:paraId="24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3DF761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47" w:type="dxa"/>
            <w:noWrap w:val="0"/>
            <w:vAlign w:val="top"/>
          </w:tcPr>
          <w:p w14:paraId="42FBFFCA">
            <w:pPr>
              <w:spacing w:line="360" w:lineRule="auto"/>
              <w:jc w:val="center"/>
              <w:rPr>
                <w:rFonts w:hint="eastAsia" w:ascii="宋体" w:hAnsi="宋体" w:cs="宋体"/>
                <w:color w:val="000000"/>
                <w:sz w:val="24"/>
                <w:highlight w:val="none"/>
              </w:rPr>
            </w:pPr>
          </w:p>
        </w:tc>
        <w:tc>
          <w:tcPr>
            <w:tcW w:w="1358" w:type="dxa"/>
            <w:noWrap w:val="0"/>
            <w:vAlign w:val="top"/>
          </w:tcPr>
          <w:p w14:paraId="3E4DD792">
            <w:pPr>
              <w:spacing w:line="360" w:lineRule="auto"/>
              <w:jc w:val="center"/>
              <w:rPr>
                <w:rFonts w:hint="eastAsia" w:ascii="宋体" w:hAnsi="宋体" w:cs="宋体"/>
                <w:color w:val="000000"/>
                <w:sz w:val="24"/>
                <w:highlight w:val="none"/>
              </w:rPr>
            </w:pPr>
          </w:p>
        </w:tc>
        <w:tc>
          <w:tcPr>
            <w:tcW w:w="2374" w:type="dxa"/>
            <w:noWrap w:val="0"/>
            <w:vAlign w:val="top"/>
          </w:tcPr>
          <w:p w14:paraId="02CB11A9">
            <w:pPr>
              <w:spacing w:line="360" w:lineRule="auto"/>
              <w:jc w:val="center"/>
              <w:rPr>
                <w:rFonts w:hint="eastAsia" w:ascii="宋体" w:hAnsi="宋体" w:cs="宋体"/>
                <w:color w:val="000000"/>
                <w:sz w:val="24"/>
                <w:highlight w:val="none"/>
              </w:rPr>
            </w:pPr>
          </w:p>
        </w:tc>
        <w:tc>
          <w:tcPr>
            <w:tcW w:w="1918" w:type="dxa"/>
            <w:noWrap w:val="0"/>
            <w:vAlign w:val="top"/>
          </w:tcPr>
          <w:p w14:paraId="175BA8CB">
            <w:pPr>
              <w:spacing w:line="360" w:lineRule="auto"/>
              <w:jc w:val="center"/>
              <w:rPr>
                <w:rFonts w:hint="eastAsia" w:ascii="宋体" w:hAnsi="宋体" w:cs="宋体"/>
                <w:color w:val="000000"/>
                <w:sz w:val="24"/>
                <w:highlight w:val="none"/>
              </w:rPr>
            </w:pPr>
          </w:p>
        </w:tc>
        <w:tc>
          <w:tcPr>
            <w:tcW w:w="1330" w:type="dxa"/>
            <w:noWrap w:val="0"/>
            <w:vAlign w:val="top"/>
          </w:tcPr>
          <w:p w14:paraId="408FA17E">
            <w:pPr>
              <w:spacing w:line="360" w:lineRule="auto"/>
              <w:jc w:val="center"/>
              <w:rPr>
                <w:rFonts w:hint="eastAsia" w:ascii="宋体" w:hAnsi="宋体" w:cs="宋体"/>
                <w:color w:val="000000"/>
                <w:sz w:val="24"/>
                <w:highlight w:val="none"/>
              </w:rPr>
            </w:pPr>
          </w:p>
        </w:tc>
      </w:tr>
    </w:tbl>
    <w:p w14:paraId="14729C85">
      <w:pPr>
        <w:spacing w:line="360" w:lineRule="auto"/>
        <w:rPr>
          <w:rFonts w:hint="eastAsia" w:ascii="宋体" w:hAnsi="宋体" w:cs="宋体"/>
          <w:color w:val="000000"/>
          <w:sz w:val="24"/>
          <w:highlight w:val="none"/>
        </w:rPr>
      </w:pPr>
    </w:p>
    <w:p w14:paraId="10AF1116">
      <w:pPr>
        <w:pStyle w:val="22"/>
        <w:adjustRightInd w:val="0"/>
        <w:snapToGrid w:val="0"/>
        <w:spacing w:before="624" w:beforeLines="200" w:line="360" w:lineRule="auto"/>
        <w:jc w:val="both"/>
        <w:rPr>
          <w:rFonts w:hint="eastAsia" w:hAnsi="宋体" w:cs="宋体"/>
          <w:color w:val="000000"/>
          <w:sz w:val="24"/>
          <w:szCs w:val="24"/>
          <w:highlight w:val="none"/>
        </w:rPr>
      </w:pP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商名称（公章）</w:t>
      </w:r>
      <w:r>
        <w:rPr>
          <w:rFonts w:hint="eastAsia" w:hAnsi="宋体" w:cs="宋体"/>
          <w:color w:val="000000"/>
          <w:sz w:val="24"/>
          <w:szCs w:val="24"/>
          <w:highlight w:val="none"/>
        </w:rPr>
        <w:t>：</w:t>
      </w:r>
    </w:p>
    <w:p w14:paraId="5415197F">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76283B6E">
      <w:pPr>
        <w:adjustRightInd w:val="0"/>
        <w:snapToGrid w:val="0"/>
        <w:spacing w:line="360" w:lineRule="auto"/>
        <w:jc w:val="both"/>
        <w:rPr>
          <w:rFonts w:hint="eastAsia" w:ascii="宋体" w:hAnsi="宋体" w:cs="宋体"/>
          <w:color w:val="000000"/>
          <w:sz w:val="24"/>
          <w:highlight w:val="none"/>
        </w:rPr>
      </w:pPr>
      <w:r>
        <w:rPr>
          <w:rFonts w:hint="eastAsia" w:ascii="宋体" w:hAnsi="宋体" w:cs="宋体"/>
          <w:color w:val="000000"/>
          <w:sz w:val="24"/>
          <w:highlight w:val="none"/>
        </w:rPr>
        <w:t>日  期：</w:t>
      </w:r>
    </w:p>
    <w:p w14:paraId="0FCFDDE6">
      <w:pPr>
        <w:adjustRightInd w:val="0"/>
        <w:snapToGrid w:val="0"/>
        <w:spacing w:line="360" w:lineRule="auto"/>
        <w:rPr>
          <w:rFonts w:hint="eastAsia" w:ascii="宋体" w:hAnsi="宋体" w:cs="宋体"/>
          <w:b/>
          <w:color w:val="000000"/>
          <w:sz w:val="28"/>
          <w:szCs w:val="28"/>
          <w:highlight w:val="none"/>
        </w:rPr>
      </w:pPr>
    </w:p>
    <w:p w14:paraId="3AD8EA78">
      <w:pPr>
        <w:adjustRightInd w:val="0"/>
        <w:snapToGrid w:val="0"/>
        <w:spacing w:line="360" w:lineRule="auto"/>
        <w:rPr>
          <w:rFonts w:hint="eastAsia" w:ascii="宋体" w:hAnsi="宋体" w:cs="宋体"/>
          <w:b/>
          <w:color w:val="000000"/>
          <w:sz w:val="28"/>
          <w:szCs w:val="28"/>
          <w:highlight w:val="none"/>
        </w:rPr>
      </w:pPr>
    </w:p>
    <w:p w14:paraId="311683F6">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5563F4C8">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3.2、同类项目业绩介绍：</w:t>
      </w: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14:paraId="74630523">
      <w:pPr>
        <w:adjustRightInd w:val="0"/>
        <w:snapToGrid w:val="0"/>
        <w:spacing w:line="360" w:lineRule="auto"/>
        <w:rPr>
          <w:rFonts w:hint="eastAsia" w:ascii="宋体" w:hAnsi="宋体" w:cs="宋体"/>
          <w:color w:val="000000"/>
          <w:sz w:val="24"/>
          <w:highlight w:val="none"/>
        </w:rPr>
      </w:pPr>
    </w:p>
    <w:p w14:paraId="3262B64A">
      <w:pPr>
        <w:pStyle w:val="25"/>
        <w:numPr>
          <w:ilvl w:val="3"/>
          <w:numId w:val="11"/>
        </w:numPr>
        <w:spacing w:line="360" w:lineRule="auto"/>
        <w:rPr>
          <w:rFonts w:hint="eastAsia" w:ascii="宋体" w:hAnsi="宋体" w:cs="宋体"/>
          <w:color w:val="000000"/>
          <w:highlight w:val="none"/>
        </w:rPr>
      </w:pPr>
      <w:r>
        <w:rPr>
          <w:rFonts w:hint="eastAsia" w:ascii="宋体" w:hAnsi="宋体" w:cs="宋体"/>
          <w:color w:val="000000"/>
          <w:highlight w:val="none"/>
        </w:rPr>
        <w:t>同类项目业绩业绩一览表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9"/>
        <w:gridCol w:w="2428"/>
        <w:gridCol w:w="1690"/>
        <w:gridCol w:w="1193"/>
        <w:gridCol w:w="2053"/>
      </w:tblGrid>
      <w:tr w14:paraId="526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5703CB9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序号</w:t>
            </w:r>
          </w:p>
        </w:tc>
        <w:tc>
          <w:tcPr>
            <w:tcW w:w="1309" w:type="dxa"/>
            <w:noWrap w:val="0"/>
            <w:vAlign w:val="center"/>
          </w:tcPr>
          <w:p w14:paraId="615AFE7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项目名称</w:t>
            </w:r>
          </w:p>
        </w:tc>
        <w:tc>
          <w:tcPr>
            <w:tcW w:w="2428" w:type="dxa"/>
            <w:noWrap w:val="0"/>
            <w:vAlign w:val="center"/>
          </w:tcPr>
          <w:p w14:paraId="497E3F3D">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项目负责人及电话</w:t>
            </w:r>
          </w:p>
        </w:tc>
        <w:tc>
          <w:tcPr>
            <w:tcW w:w="1690" w:type="dxa"/>
            <w:noWrap w:val="0"/>
            <w:vAlign w:val="center"/>
          </w:tcPr>
          <w:p w14:paraId="6AF8069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合同主要内容</w:t>
            </w:r>
          </w:p>
        </w:tc>
        <w:tc>
          <w:tcPr>
            <w:tcW w:w="1193" w:type="dxa"/>
            <w:noWrap w:val="0"/>
            <w:vAlign w:val="center"/>
          </w:tcPr>
          <w:p w14:paraId="60AA503C">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合同总价</w:t>
            </w:r>
          </w:p>
        </w:tc>
        <w:tc>
          <w:tcPr>
            <w:tcW w:w="2053" w:type="dxa"/>
            <w:noWrap w:val="0"/>
            <w:vAlign w:val="center"/>
          </w:tcPr>
          <w:p w14:paraId="501421B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签约及完成时间</w:t>
            </w:r>
          </w:p>
        </w:tc>
      </w:tr>
      <w:tr w14:paraId="45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8" w:type="dxa"/>
            <w:noWrap w:val="0"/>
            <w:vAlign w:val="center"/>
          </w:tcPr>
          <w:p w14:paraId="65F64F2D">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EE12F65">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F3AF89D">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79C01A10">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7952518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5A4812B9">
            <w:pPr>
              <w:adjustRightInd w:val="0"/>
              <w:snapToGrid w:val="0"/>
              <w:spacing w:line="360" w:lineRule="auto"/>
              <w:jc w:val="center"/>
              <w:rPr>
                <w:rFonts w:hint="eastAsia" w:ascii="宋体" w:hAnsi="宋体" w:cs="宋体"/>
                <w:bCs/>
                <w:snapToGrid w:val="0"/>
                <w:color w:val="000000"/>
                <w:kern w:val="0"/>
                <w:sz w:val="24"/>
                <w:highlight w:val="none"/>
              </w:rPr>
            </w:pPr>
          </w:p>
        </w:tc>
      </w:tr>
      <w:tr w14:paraId="7C9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49D8F60">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47F1F446">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92399C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0A3D23E2">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BC0BCDB">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F58885">
            <w:pPr>
              <w:adjustRightInd w:val="0"/>
              <w:snapToGrid w:val="0"/>
              <w:spacing w:line="360" w:lineRule="auto"/>
              <w:jc w:val="center"/>
              <w:rPr>
                <w:rFonts w:hint="eastAsia" w:ascii="宋体" w:hAnsi="宋体" w:cs="宋体"/>
                <w:bCs/>
                <w:snapToGrid w:val="0"/>
                <w:color w:val="000000"/>
                <w:kern w:val="0"/>
                <w:sz w:val="24"/>
                <w:highlight w:val="none"/>
              </w:rPr>
            </w:pPr>
          </w:p>
        </w:tc>
      </w:tr>
      <w:tr w14:paraId="3FCE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5FAD0A7">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313FA44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BFE034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2034734">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6CB8DD7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6ACA9D">
            <w:pPr>
              <w:adjustRightInd w:val="0"/>
              <w:snapToGrid w:val="0"/>
              <w:spacing w:line="360" w:lineRule="auto"/>
              <w:jc w:val="center"/>
              <w:rPr>
                <w:rFonts w:hint="eastAsia" w:ascii="宋体" w:hAnsi="宋体" w:cs="宋体"/>
                <w:bCs/>
                <w:snapToGrid w:val="0"/>
                <w:color w:val="000000"/>
                <w:kern w:val="0"/>
                <w:sz w:val="24"/>
                <w:highlight w:val="none"/>
              </w:rPr>
            </w:pPr>
          </w:p>
        </w:tc>
      </w:tr>
      <w:tr w14:paraId="051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48" w:type="dxa"/>
            <w:noWrap w:val="0"/>
            <w:vAlign w:val="center"/>
          </w:tcPr>
          <w:p w14:paraId="50DF3414">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F8315BB">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7B4AC572">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4E9580D">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0E6C267">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09F47429">
            <w:pPr>
              <w:adjustRightInd w:val="0"/>
              <w:snapToGrid w:val="0"/>
              <w:spacing w:line="360" w:lineRule="auto"/>
              <w:jc w:val="center"/>
              <w:rPr>
                <w:rFonts w:hint="eastAsia" w:ascii="宋体" w:hAnsi="宋体" w:cs="宋体"/>
                <w:bCs/>
                <w:snapToGrid w:val="0"/>
                <w:color w:val="000000"/>
                <w:kern w:val="0"/>
                <w:sz w:val="24"/>
                <w:highlight w:val="none"/>
              </w:rPr>
            </w:pPr>
          </w:p>
        </w:tc>
      </w:tr>
      <w:tr w14:paraId="0D8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72266BF1">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61C0D75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A4BE5DE">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3332CC16">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6776C0D">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62966865">
            <w:pPr>
              <w:adjustRightInd w:val="0"/>
              <w:snapToGrid w:val="0"/>
              <w:spacing w:line="360" w:lineRule="auto"/>
              <w:jc w:val="center"/>
              <w:rPr>
                <w:rFonts w:hint="eastAsia" w:ascii="宋体" w:hAnsi="宋体" w:cs="宋体"/>
                <w:bCs/>
                <w:snapToGrid w:val="0"/>
                <w:color w:val="000000"/>
                <w:kern w:val="0"/>
                <w:sz w:val="24"/>
                <w:highlight w:val="none"/>
              </w:rPr>
            </w:pPr>
          </w:p>
        </w:tc>
      </w:tr>
    </w:tbl>
    <w:p w14:paraId="73510D53">
      <w:pPr>
        <w:pStyle w:val="22"/>
        <w:adjustRightInd w:val="0"/>
        <w:snapToGrid w:val="0"/>
        <w:spacing w:before="624" w:beforeLines="200" w:line="360" w:lineRule="auto"/>
        <w:jc w:val="center"/>
        <w:rPr>
          <w:rFonts w:hint="eastAsia" w:hAnsi="宋体" w:cs="宋体"/>
          <w:snapToGrid w:val="0"/>
          <w:color w:val="000000"/>
          <w:kern w:val="0"/>
          <w:sz w:val="24"/>
          <w:szCs w:val="24"/>
          <w:highlight w:val="none"/>
        </w:rPr>
      </w:pPr>
      <w:r>
        <w:rPr>
          <w:rFonts w:hint="eastAsia" w:hAnsi="宋体" w:cs="宋体"/>
          <w:snapToGrid w:val="0"/>
          <w:color w:val="000000"/>
          <w:kern w:val="0"/>
          <w:sz w:val="24"/>
          <w:szCs w:val="24"/>
          <w:highlight w:val="none"/>
        </w:rPr>
        <w:t xml:space="preserve">                         </w:t>
      </w:r>
    </w:p>
    <w:p w14:paraId="2B7B9E38">
      <w:pPr>
        <w:pStyle w:val="22"/>
        <w:adjustRightInd w:val="0"/>
        <w:snapToGrid w:val="0"/>
        <w:spacing w:before="624" w:beforeLines="200"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响应</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商名称（公章）：</w:t>
      </w:r>
    </w:p>
    <w:p w14:paraId="75AEA65E">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F0FDEF2">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EF70CBA">
      <w:pPr>
        <w:adjustRightInd w:val="0"/>
        <w:snapToGrid w:val="0"/>
        <w:spacing w:line="360" w:lineRule="auto"/>
        <w:ind w:left="4620" w:leftChars="2200"/>
        <w:jc w:val="left"/>
        <w:rPr>
          <w:rFonts w:hint="eastAsia" w:ascii="宋体" w:hAnsi="宋体" w:cs="宋体"/>
          <w:color w:val="000000"/>
          <w:sz w:val="24"/>
          <w:highlight w:val="none"/>
        </w:rPr>
      </w:pPr>
    </w:p>
    <w:p w14:paraId="4DABBACC">
      <w:pPr>
        <w:adjustRightInd w:val="0"/>
        <w:snapToGrid w:val="0"/>
        <w:spacing w:line="360" w:lineRule="auto"/>
        <w:ind w:left="4620" w:leftChars="2200"/>
        <w:jc w:val="left"/>
        <w:rPr>
          <w:rFonts w:hint="eastAsia" w:ascii="宋体" w:hAnsi="宋体" w:cs="宋体"/>
          <w:color w:val="000000"/>
          <w:sz w:val="24"/>
          <w:highlight w:val="none"/>
        </w:rPr>
      </w:pPr>
    </w:p>
    <w:p w14:paraId="2F3271AA">
      <w:pPr>
        <w:adjustRightInd w:val="0"/>
        <w:snapToGrid w:val="0"/>
        <w:spacing w:line="360" w:lineRule="auto"/>
        <w:ind w:left="4620" w:leftChars="2200"/>
        <w:jc w:val="left"/>
        <w:rPr>
          <w:rFonts w:hint="eastAsia" w:ascii="宋体" w:hAnsi="宋体" w:cs="宋体"/>
          <w:color w:val="000000"/>
          <w:sz w:val="24"/>
          <w:highlight w:val="none"/>
        </w:rPr>
      </w:pPr>
    </w:p>
    <w:p w14:paraId="736C4848">
      <w:pPr>
        <w:adjustRightInd w:val="0"/>
        <w:snapToGrid w:val="0"/>
        <w:spacing w:line="360" w:lineRule="auto"/>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3.3、技术服务人员：拟投入的项目技术服务人员，提供相关证明材料。</w:t>
      </w:r>
    </w:p>
    <w:p w14:paraId="2C57BC89">
      <w:pPr>
        <w:adjustRightInd w:val="0"/>
        <w:snapToGrid w:val="0"/>
        <w:spacing w:line="360" w:lineRule="auto"/>
        <w:ind w:left="4620" w:leftChars="2200"/>
        <w:jc w:val="left"/>
        <w:rPr>
          <w:rFonts w:hint="eastAsia" w:ascii="宋体" w:hAnsi="宋体" w:cs="宋体"/>
          <w:color w:val="000000"/>
          <w:sz w:val="24"/>
          <w:highlight w:val="none"/>
        </w:rPr>
      </w:pPr>
    </w:p>
    <w:p w14:paraId="2427BDF9">
      <w:pPr>
        <w:adjustRightInd w:val="0"/>
        <w:snapToGrid w:val="0"/>
        <w:spacing w:line="360" w:lineRule="auto"/>
        <w:ind w:left="4620" w:leftChars="2200"/>
        <w:jc w:val="left"/>
        <w:rPr>
          <w:rFonts w:hint="eastAsia" w:ascii="宋体" w:hAnsi="宋体" w:cs="宋体"/>
          <w:color w:val="000000"/>
          <w:sz w:val="24"/>
          <w:highlight w:val="none"/>
        </w:rPr>
      </w:pPr>
    </w:p>
    <w:p w14:paraId="2C95B2CB">
      <w:pPr>
        <w:adjustRightInd w:val="0"/>
        <w:snapToGrid w:val="0"/>
        <w:spacing w:line="360" w:lineRule="auto"/>
        <w:ind w:left="4620" w:leftChars="2200"/>
        <w:jc w:val="left"/>
        <w:rPr>
          <w:rFonts w:hint="eastAsia" w:ascii="宋体" w:hAnsi="宋体" w:cs="宋体"/>
          <w:color w:val="000000"/>
          <w:sz w:val="24"/>
          <w:highlight w:val="none"/>
        </w:rPr>
      </w:pPr>
    </w:p>
    <w:p w14:paraId="57D820C5">
      <w:pPr>
        <w:adjustRightInd w:val="0"/>
        <w:snapToGrid w:val="0"/>
        <w:spacing w:line="360" w:lineRule="auto"/>
        <w:ind w:left="4620" w:leftChars="2200"/>
        <w:jc w:val="left"/>
        <w:rPr>
          <w:rFonts w:hint="eastAsia" w:ascii="宋体" w:hAnsi="宋体" w:cs="宋体"/>
          <w:color w:val="000000"/>
          <w:sz w:val="24"/>
          <w:highlight w:val="none"/>
        </w:rPr>
      </w:pPr>
    </w:p>
    <w:p w14:paraId="21E0ED73">
      <w:pPr>
        <w:adjustRightInd w:val="0"/>
        <w:snapToGrid w:val="0"/>
        <w:spacing w:line="360" w:lineRule="auto"/>
        <w:ind w:left="4620" w:leftChars="2200"/>
        <w:jc w:val="left"/>
        <w:rPr>
          <w:rFonts w:hint="eastAsia" w:ascii="宋体" w:hAnsi="宋体" w:cs="宋体"/>
          <w:color w:val="000000"/>
          <w:sz w:val="24"/>
          <w:highlight w:val="none"/>
        </w:rPr>
      </w:pPr>
    </w:p>
    <w:p w14:paraId="588AFACA">
      <w:pPr>
        <w:adjustRightInd w:val="0"/>
        <w:snapToGrid w:val="0"/>
        <w:spacing w:line="360" w:lineRule="auto"/>
        <w:ind w:left="4620" w:leftChars="2200"/>
        <w:jc w:val="left"/>
        <w:rPr>
          <w:rFonts w:hint="eastAsia" w:ascii="宋体" w:hAnsi="宋体" w:cs="宋体"/>
          <w:color w:val="000000"/>
          <w:sz w:val="24"/>
          <w:highlight w:val="none"/>
        </w:rPr>
      </w:pPr>
    </w:p>
    <w:p w14:paraId="7A3D6D89">
      <w:pPr>
        <w:adjustRightInd w:val="0"/>
        <w:snapToGrid w:val="0"/>
        <w:spacing w:line="360" w:lineRule="auto"/>
        <w:ind w:left="4620" w:leftChars="2200"/>
        <w:jc w:val="left"/>
        <w:rPr>
          <w:rFonts w:hint="eastAsia" w:ascii="宋体" w:hAnsi="宋体" w:cs="宋体"/>
          <w:color w:val="000000"/>
          <w:sz w:val="24"/>
          <w:highlight w:val="none"/>
        </w:rPr>
      </w:pPr>
    </w:p>
    <w:p w14:paraId="1FD164B4">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p>
    <w:p w14:paraId="1A40A816">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四、技术部分</w:t>
      </w:r>
    </w:p>
    <w:p w14:paraId="32CB084C">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4.1、</w:t>
      </w:r>
      <w:r>
        <w:rPr>
          <w:rFonts w:hint="eastAsia" w:ascii="宋体" w:hAnsi="宋体" w:eastAsia="宋体" w:cs="宋体"/>
          <w:b/>
          <w:bCs/>
          <w:sz w:val="24"/>
          <w:szCs w:val="24"/>
          <w:highlight w:val="none"/>
        </w:rPr>
        <w:t>项目售电实施方案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79FCE115">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rPr>
        <w:t>用户侧保供电应急方案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6252CB8C">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sz w:val="24"/>
          <w:szCs w:val="24"/>
          <w:highlight w:val="none"/>
          <w:lang w:val="en-US" w:eastAsia="zh-CN"/>
        </w:rPr>
        <w:t>4.3、</w:t>
      </w:r>
      <w:r>
        <w:rPr>
          <w:rFonts w:hint="eastAsia" w:ascii="宋体" w:hAnsi="宋体" w:eastAsia="宋体" w:cs="宋体"/>
          <w:b/>
          <w:bCs/>
          <w:color w:val="auto"/>
          <w:sz w:val="24"/>
          <w:szCs w:val="24"/>
        </w:rPr>
        <w:t>电量服务保障方案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5ED562E3">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用电效能分析及优化方案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2E389F65">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t>4.5、增值服务方案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3C20734F">
      <w:pPr>
        <w:numPr>
          <w:ilvl w:val="0"/>
          <w:numId w:val="0"/>
        </w:numPr>
        <w:adjustRightInd w:val="0"/>
        <w:snapToGrid w:val="0"/>
        <w:spacing w:line="360" w:lineRule="auto"/>
        <w:ind w:leftChars="200"/>
        <w:jc w:val="both"/>
        <w:outlineLvl w:val="1"/>
        <w:rPr>
          <w:rFonts w:hint="default" w:ascii="宋体" w:hAnsi="宋体" w:eastAsia="宋体" w:cs="宋体"/>
          <w:color w:val="auto"/>
          <w:sz w:val="24"/>
          <w:szCs w:val="24"/>
          <w:lang w:val="en-US" w:eastAsia="zh-CN"/>
        </w:rPr>
      </w:pPr>
    </w:p>
    <w:p w14:paraId="154E0DC1">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03B902F2">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五</w:t>
      </w:r>
      <w:r>
        <w:rPr>
          <w:rFonts w:hint="eastAsia" w:ascii="宋体" w:hAnsi="宋体" w:cs="宋体"/>
          <w:b/>
          <w:color w:val="000000"/>
          <w:sz w:val="32"/>
          <w:szCs w:val="32"/>
          <w:highlight w:val="none"/>
        </w:rPr>
        <w:t>、价格部分</w:t>
      </w:r>
    </w:p>
    <w:p w14:paraId="16704444">
      <w:pPr>
        <w:adjustRightInd w:val="0"/>
        <w:snapToGrid w:val="0"/>
        <w:spacing w:line="360" w:lineRule="auto"/>
        <w:rPr>
          <w:rFonts w:hint="eastAsia" w:ascii="宋体" w:hAnsi="宋体" w:cs="宋体"/>
          <w:b/>
          <w:snapToGrid w:val="0"/>
          <w:color w:val="000000"/>
          <w:kern w:val="0"/>
          <w:sz w:val="28"/>
          <w:szCs w:val="28"/>
          <w:highlight w:val="none"/>
        </w:rPr>
      </w:pPr>
      <w:bookmarkStart w:id="12" w:name="_Toc193123989"/>
      <w:bookmarkStart w:id="13" w:name="_Toc110315004"/>
      <w:bookmarkStart w:id="14" w:name="_Toc246751670"/>
      <w:r>
        <w:rPr>
          <w:rFonts w:hint="eastAsia" w:ascii="宋体" w:hAnsi="宋体" w:cs="宋体"/>
          <w:b/>
          <w:snapToGrid w:val="0"/>
          <w:color w:val="000000"/>
          <w:kern w:val="0"/>
          <w:sz w:val="28"/>
          <w:szCs w:val="28"/>
          <w:highlight w:val="none"/>
        </w:rPr>
        <w:t>报价一览表格式</w:t>
      </w:r>
      <w:bookmarkEnd w:id="12"/>
      <w:bookmarkEnd w:id="13"/>
      <w:bookmarkEnd w:id="14"/>
    </w:p>
    <w:p w14:paraId="3B3C2C2E">
      <w:pPr>
        <w:pStyle w:val="25"/>
        <w:numPr>
          <w:ilvl w:val="3"/>
          <w:numId w:val="11"/>
        </w:numPr>
        <w:spacing w:line="360" w:lineRule="auto"/>
        <w:rPr>
          <w:rFonts w:hint="eastAsia" w:ascii="宋体" w:hAnsi="宋体" w:cs="宋体"/>
          <w:bCs/>
          <w:color w:val="000000"/>
          <w:highlight w:val="none"/>
        </w:rPr>
      </w:pPr>
      <w:r>
        <w:rPr>
          <w:rFonts w:hint="eastAsia" w:ascii="宋体" w:hAnsi="宋体" w:cs="宋体"/>
          <w:color w:val="000000"/>
          <w:highlight w:val="none"/>
        </w:rPr>
        <w:t xml:space="preserve">报价一览表 </w:t>
      </w:r>
    </w:p>
    <w:p w14:paraId="64B09538">
      <w:pPr>
        <w:adjustRightInd w:val="0"/>
        <w:snapToGrid w:val="0"/>
        <w:spacing w:line="360" w:lineRule="auto"/>
        <w:jc w:val="center"/>
        <w:rPr>
          <w:rFonts w:hint="eastAsia" w:ascii="宋体" w:hAnsi="宋体" w:cs="宋体"/>
          <w:bCs/>
          <w:snapToGrid w:val="0"/>
          <w:color w:val="000000"/>
          <w:kern w:val="0"/>
          <w:sz w:val="24"/>
          <w:highlight w:val="none"/>
        </w:rPr>
      </w:pPr>
    </w:p>
    <w:p w14:paraId="75D98ACF">
      <w:pPr>
        <w:adjustRightInd w:val="0"/>
        <w:snapToGrid w:val="0"/>
        <w:spacing w:line="360" w:lineRule="auto"/>
        <w:rPr>
          <w:rFonts w:hint="eastAsia" w:ascii="宋体" w:hAnsi="宋体" w:cs="宋体" w:eastAsiaTheme="minorEastAsia"/>
          <w:b/>
          <w:color w:val="000000"/>
          <w:sz w:val="24"/>
          <w:highlight w:val="none"/>
          <w:u w:val="single"/>
          <w:lang w:eastAsia="zh-CN"/>
        </w:rPr>
      </w:pPr>
      <w:r>
        <w:rPr>
          <w:rFonts w:hint="eastAsia" w:ascii="宋体" w:hAnsi="宋体" w:cs="宋体"/>
          <w:bCs/>
          <w:snapToGrid w:val="0"/>
          <w:color w:val="000000"/>
          <w:kern w:val="0"/>
          <w:sz w:val="24"/>
          <w:highlight w:val="none"/>
        </w:rPr>
        <w:t>项目名称：</w:t>
      </w:r>
      <w:r>
        <w:rPr>
          <w:rFonts w:hint="eastAsia" w:ascii="宋体" w:hAnsi="宋体" w:cs="宋体"/>
          <w:bCs/>
          <w:snapToGrid w:val="0"/>
          <w:color w:val="000000"/>
          <w:kern w:val="0"/>
          <w:sz w:val="24"/>
          <w:highlight w:val="none"/>
          <w:lang w:eastAsia="zh-CN"/>
        </w:rPr>
        <w:t>河源市人民医院电力市场交易代购服务采购项目</w:t>
      </w:r>
    </w:p>
    <w:p w14:paraId="1B7FF12A">
      <w:pPr>
        <w:adjustRightInd w:val="0"/>
        <w:snapToGrid w:val="0"/>
        <w:spacing w:line="360" w:lineRule="auto"/>
        <w:rPr>
          <w:rFonts w:hint="eastAsia" w:ascii="宋体" w:hAnsi="宋体" w:cs="宋体" w:eastAsiaTheme="minorEastAsia"/>
          <w:color w:val="000000"/>
          <w:sz w:val="24"/>
          <w:highlight w:val="none"/>
          <w:u w:val="single"/>
          <w:lang w:eastAsia="zh-CN"/>
        </w:rPr>
      </w:pPr>
      <w:r>
        <w:rPr>
          <w:rFonts w:hint="eastAsia" w:ascii="宋体" w:hAnsi="宋体" w:cs="宋体"/>
          <w:bCs/>
          <w:snapToGrid w:val="0"/>
          <w:color w:val="000000"/>
          <w:kern w:val="0"/>
          <w:sz w:val="24"/>
          <w:highlight w:val="none"/>
        </w:rPr>
        <w:t>项目编号</w:t>
      </w:r>
      <w:r>
        <w:rPr>
          <w:rFonts w:hint="eastAsia" w:ascii="宋体" w:hAnsi="宋体" w:cs="宋体"/>
          <w:bCs/>
          <w:snapToGrid w:val="0"/>
          <w:color w:val="000000"/>
          <w:kern w:val="0"/>
          <w:sz w:val="24"/>
          <w:highlight w:val="none"/>
          <w:lang w:eastAsia="zh-CN"/>
        </w:rPr>
        <w:t>：HYRY-2026-001</w:t>
      </w:r>
    </w:p>
    <w:tbl>
      <w:tblPr>
        <w:tblStyle w:val="1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4035"/>
        <w:gridCol w:w="2014"/>
        <w:gridCol w:w="1084"/>
      </w:tblGrid>
      <w:tr w14:paraId="1E4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60" w:type="dxa"/>
            <w:noWrap w:val="0"/>
            <w:vAlign w:val="center"/>
          </w:tcPr>
          <w:p w14:paraId="68F81EAC">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项目内容</w:t>
            </w:r>
          </w:p>
        </w:tc>
        <w:tc>
          <w:tcPr>
            <w:tcW w:w="4035" w:type="dxa"/>
            <w:noWrap w:val="0"/>
            <w:vAlign w:val="center"/>
          </w:tcPr>
          <w:p w14:paraId="7A3D9994">
            <w:pPr>
              <w:widowControl/>
              <w:spacing w:line="440" w:lineRule="exact"/>
              <w:jc w:val="center"/>
              <w:rPr>
                <w:rFonts w:hint="default" w:ascii="宋体" w:hAnsi="宋体" w:cs="宋体"/>
                <w:color w:val="000000"/>
                <w:kern w:val="0"/>
                <w:sz w:val="24"/>
                <w:highlight w:val="none"/>
                <w:lang w:val="en-US"/>
              </w:rPr>
            </w:pPr>
            <w:r>
              <w:rPr>
                <w:rFonts w:hint="eastAsia" w:ascii="宋体" w:hAnsi="宋体" w:eastAsia="宋体" w:cs="宋体"/>
                <w:i w:val="0"/>
                <w:iCs w:val="0"/>
                <w:caps w:val="0"/>
                <w:color w:val="000000"/>
                <w:spacing w:val="0"/>
                <w:sz w:val="24"/>
                <w:szCs w:val="24"/>
              </w:rPr>
              <w:t>报价(全包干价</w:t>
            </w:r>
            <w:r>
              <w:rPr>
                <w:rFonts w:hint="eastAsia" w:ascii="宋体" w:hAnsi="宋体" w:eastAsia="宋体" w:cs="宋体"/>
                <w:i w:val="0"/>
                <w:iCs w:val="0"/>
                <w:caps w:val="0"/>
                <w:color w:val="000000"/>
                <w:spacing w:val="0"/>
                <w:sz w:val="24"/>
                <w:szCs w:val="24"/>
                <w:lang w:eastAsia="zh-CN"/>
              </w:rPr>
              <w:t>）</w:t>
            </w:r>
          </w:p>
        </w:tc>
        <w:tc>
          <w:tcPr>
            <w:tcW w:w="2014" w:type="dxa"/>
            <w:noWrap w:val="0"/>
            <w:vAlign w:val="center"/>
          </w:tcPr>
          <w:p w14:paraId="406E7AE4">
            <w:pPr>
              <w:widowControl/>
              <w:spacing w:line="440" w:lineRule="exact"/>
              <w:jc w:val="center"/>
              <w:rPr>
                <w:rFonts w:hint="eastAsia" w:ascii="宋体" w:hAnsi="宋体" w:cs="宋体"/>
                <w:color w:val="000000"/>
                <w:kern w:val="0"/>
                <w:sz w:val="24"/>
                <w:highlight w:val="none"/>
              </w:rPr>
            </w:pPr>
            <w:r>
              <w:rPr>
                <w:rFonts w:hint="eastAsia" w:ascii="宋体" w:hAnsi="宋体" w:cs="宋体"/>
                <w:b w:val="0"/>
                <w:bCs w:val="0"/>
                <w:color w:val="000000"/>
                <w:sz w:val="24"/>
                <w:highlight w:val="none"/>
              </w:rPr>
              <w:t>服务期限</w:t>
            </w:r>
          </w:p>
        </w:tc>
        <w:tc>
          <w:tcPr>
            <w:tcW w:w="1084" w:type="dxa"/>
            <w:noWrap w:val="0"/>
            <w:vAlign w:val="center"/>
          </w:tcPr>
          <w:p w14:paraId="6FBCF8B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  注</w:t>
            </w:r>
          </w:p>
        </w:tc>
      </w:tr>
      <w:tr w14:paraId="75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560" w:type="dxa"/>
            <w:noWrap w:val="0"/>
            <w:vAlign w:val="center"/>
          </w:tcPr>
          <w:p w14:paraId="719789D6">
            <w:pPr>
              <w:widowControl/>
              <w:spacing w:line="440" w:lineRule="exact"/>
              <w:jc w:val="center"/>
              <w:rPr>
                <w:rFonts w:hint="eastAsia" w:hAnsi="宋体" w:eastAsia="宋体" w:cs="宋体"/>
                <w:bCs/>
                <w:color w:val="000000"/>
                <w:sz w:val="24"/>
                <w:highlight w:val="none"/>
                <w:lang w:eastAsia="zh-CN"/>
              </w:rPr>
            </w:pPr>
            <w:r>
              <w:rPr>
                <w:rFonts w:hint="eastAsia" w:ascii="宋体" w:hAnsi="宋体" w:cs="宋体"/>
                <w:bCs/>
                <w:snapToGrid w:val="0"/>
                <w:color w:val="000000"/>
                <w:kern w:val="0"/>
                <w:sz w:val="24"/>
                <w:highlight w:val="none"/>
                <w:lang w:eastAsia="zh-CN"/>
              </w:rPr>
              <w:t>河源市人民医院电力市场交易代购服务采购项目</w:t>
            </w:r>
          </w:p>
        </w:tc>
        <w:tc>
          <w:tcPr>
            <w:tcW w:w="4035" w:type="dxa"/>
            <w:noWrap w:val="0"/>
            <w:vAlign w:val="center"/>
          </w:tcPr>
          <w:p w14:paraId="39814974">
            <w:pPr>
              <w:widowControl/>
              <w:spacing w:line="440" w:lineRule="exact"/>
              <w:rPr>
                <w:rFonts w:hint="eastAsia" w:ascii="宋体" w:hAnsi="宋体" w:cs="宋体"/>
                <w:color w:val="000000"/>
                <w:kern w:val="0"/>
                <w:sz w:val="24"/>
                <w:highlight w:val="none"/>
              </w:rPr>
            </w:pPr>
          </w:p>
        </w:tc>
        <w:tc>
          <w:tcPr>
            <w:tcW w:w="2014" w:type="dxa"/>
            <w:noWrap w:val="0"/>
            <w:vAlign w:val="center"/>
          </w:tcPr>
          <w:p w14:paraId="4A4C13EE">
            <w:pPr>
              <w:widowControl/>
              <w:spacing w:line="4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084" w:type="dxa"/>
            <w:noWrap w:val="0"/>
            <w:vAlign w:val="center"/>
          </w:tcPr>
          <w:p w14:paraId="1CCAEE57">
            <w:pPr>
              <w:widowControl/>
              <w:spacing w:line="440" w:lineRule="exact"/>
              <w:jc w:val="center"/>
              <w:rPr>
                <w:rFonts w:hint="eastAsia" w:ascii="宋体" w:hAnsi="宋体" w:cs="宋体"/>
                <w:color w:val="000000"/>
                <w:kern w:val="0"/>
                <w:sz w:val="24"/>
                <w:highlight w:val="none"/>
              </w:rPr>
            </w:pPr>
          </w:p>
        </w:tc>
      </w:tr>
    </w:tbl>
    <w:p w14:paraId="713EDEB3">
      <w:pPr>
        <w:rPr>
          <w:rFonts w:hint="eastAsia"/>
          <w:color w:val="auto"/>
          <w:highlight w:val="none"/>
        </w:rPr>
      </w:pPr>
    </w:p>
    <w:p w14:paraId="7679CA69">
      <w:pPr>
        <w:pStyle w:val="22"/>
        <w:adjustRightInd w:val="0"/>
        <w:snapToGrid w:val="0"/>
        <w:spacing w:line="360" w:lineRule="auto"/>
        <w:rPr>
          <w:rFonts w:hint="eastAsia" w:hAnsi="宋体" w:eastAsia="宋体" w:cs="宋体"/>
          <w:b/>
          <w:color w:val="auto"/>
          <w:sz w:val="24"/>
          <w:szCs w:val="24"/>
          <w:highlight w:val="none"/>
          <w:lang w:eastAsia="zh-CN"/>
        </w:rPr>
      </w:pPr>
      <w:r>
        <w:rPr>
          <w:rFonts w:hint="eastAsia" w:hAnsi="宋体" w:cs="宋体"/>
          <w:b/>
          <w:snapToGrid w:val="0"/>
          <w:color w:val="auto"/>
          <w:kern w:val="0"/>
          <w:sz w:val="24"/>
          <w:szCs w:val="24"/>
          <w:highlight w:val="none"/>
        </w:rPr>
        <w:t>说明：</w:t>
      </w:r>
      <w:r>
        <w:rPr>
          <w:rFonts w:hint="eastAsia" w:ascii="宋体" w:hAnsi="宋体" w:eastAsia="宋体" w:cs="宋体"/>
          <w:b/>
          <w:bCs/>
          <w:i w:val="0"/>
          <w:iCs w:val="0"/>
          <w:caps w:val="0"/>
          <w:color w:val="auto"/>
          <w:spacing w:val="0"/>
          <w:sz w:val="24"/>
          <w:szCs w:val="24"/>
          <w:shd w:val="clear" w:fill="FFFFFF"/>
          <w:lang w:eastAsia="zh-CN"/>
        </w:rPr>
        <w:t>按</w:t>
      </w:r>
      <w:r>
        <w:rPr>
          <w:rFonts w:hint="eastAsia" w:ascii="宋体" w:hAnsi="宋体" w:eastAsia="宋体" w:cs="宋体"/>
          <w:b/>
          <w:bCs/>
          <w:i w:val="0"/>
          <w:iCs w:val="0"/>
          <w:caps w:val="0"/>
          <w:color w:val="auto"/>
          <w:spacing w:val="0"/>
          <w:sz w:val="24"/>
          <w:szCs w:val="24"/>
        </w:rPr>
        <w:t>电价上限为0.554元/千瓦时，下限为0.372元/千瓦时</w:t>
      </w:r>
      <w:r>
        <w:rPr>
          <w:rFonts w:hint="eastAsia" w:hAnsi="宋体" w:eastAsia="宋体" w:cs="宋体"/>
          <w:b/>
          <w:bCs/>
          <w:i w:val="0"/>
          <w:iCs w:val="0"/>
          <w:caps w:val="0"/>
          <w:color w:val="auto"/>
          <w:spacing w:val="0"/>
          <w:sz w:val="24"/>
          <w:szCs w:val="24"/>
          <w:lang w:val="en-US" w:eastAsia="zh-CN"/>
        </w:rPr>
        <w:t>进行报价</w:t>
      </w: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rPr>
        <w:t>区间外报价无效</w:t>
      </w:r>
      <w:r>
        <w:rPr>
          <w:rFonts w:hint="eastAsia" w:hAnsi="宋体" w:eastAsia="宋体" w:cs="宋体"/>
          <w:b/>
          <w:bCs/>
          <w:i w:val="0"/>
          <w:iCs w:val="0"/>
          <w:caps w:val="0"/>
          <w:color w:val="auto"/>
          <w:spacing w:val="0"/>
          <w:sz w:val="24"/>
          <w:szCs w:val="24"/>
          <w:shd w:val="clear" w:fill="FFFFFF"/>
          <w:lang w:eastAsia="zh-CN"/>
        </w:rPr>
        <w:t>。</w:t>
      </w:r>
    </w:p>
    <w:p w14:paraId="1AB889A8">
      <w:pPr>
        <w:spacing w:line="360" w:lineRule="auto"/>
        <w:ind w:firstLine="4620" w:firstLineChars="1925"/>
        <w:rPr>
          <w:rFonts w:hint="eastAsia" w:ascii="宋体" w:hAnsi="宋体" w:cs="宋体"/>
          <w:color w:val="000000"/>
          <w:sz w:val="24"/>
          <w:highlight w:val="none"/>
        </w:rPr>
      </w:pPr>
    </w:p>
    <w:p w14:paraId="37DA03FC">
      <w:pPr>
        <w:spacing w:line="360" w:lineRule="auto"/>
        <w:ind w:firstLine="4620" w:firstLineChars="1925"/>
        <w:rPr>
          <w:rFonts w:hint="eastAsia" w:ascii="宋体" w:hAnsi="宋体" w:cs="宋体"/>
          <w:color w:val="000000"/>
          <w:sz w:val="24"/>
          <w:highlight w:val="none"/>
        </w:rPr>
      </w:pPr>
    </w:p>
    <w:p w14:paraId="6295B8BC">
      <w:pPr>
        <w:spacing w:line="360" w:lineRule="auto"/>
        <w:ind w:firstLine="4620" w:firstLineChars="1925"/>
        <w:rPr>
          <w:rFonts w:hint="eastAsia" w:ascii="宋体" w:hAnsi="宋体" w:cs="宋体"/>
          <w:color w:val="000000"/>
          <w:sz w:val="24"/>
          <w:highlight w:val="none"/>
        </w:rPr>
      </w:pPr>
    </w:p>
    <w:p w14:paraId="6154C508">
      <w:pPr>
        <w:spacing w:line="360" w:lineRule="auto"/>
        <w:ind w:firstLine="4620" w:firstLineChars="1925"/>
        <w:rPr>
          <w:rFonts w:hint="eastAsia" w:ascii="宋体" w:hAnsi="宋体" w:cs="宋体"/>
          <w:color w:val="000000"/>
          <w:sz w:val="24"/>
          <w:highlight w:val="none"/>
        </w:rPr>
      </w:pPr>
    </w:p>
    <w:p w14:paraId="4A0E0274">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505B90C">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67F5BEE">
      <w:pPr>
        <w:adjustRightInd w:val="0"/>
        <w:snapToGrid w:val="0"/>
        <w:spacing w:line="360" w:lineRule="auto"/>
        <w:rPr>
          <w:rFonts w:hint="default" w:ascii="仿宋_GB2312" w:hAnsi="仿宋_GB2312" w:eastAsia="仿宋_GB2312" w:cs="仿宋_GB2312"/>
          <w:sz w:val="28"/>
          <w:szCs w:val="28"/>
          <w:lang w:val="en-US" w:eastAsia="zh-CN"/>
        </w:rPr>
      </w:pPr>
      <w:r>
        <w:rPr>
          <w:rFonts w:hint="eastAsia" w:ascii="宋体" w:hAnsi="宋体" w:cs="宋体"/>
          <w:color w:val="000000"/>
          <w:sz w:val="24"/>
          <w:highlight w:val="none"/>
        </w:rPr>
        <w:t>日  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FED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B6D3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B6D3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B9C8"/>
    <w:multiLevelType w:val="singleLevel"/>
    <w:tmpl w:val="8F06B9C8"/>
    <w:lvl w:ilvl="0" w:tentative="0">
      <w:start w:val="1"/>
      <w:numFmt w:val="decimal"/>
      <w:lvlText w:val="%1."/>
      <w:lvlJc w:val="left"/>
      <w:pPr>
        <w:tabs>
          <w:tab w:val="left" w:pos="312"/>
        </w:tabs>
      </w:pPr>
    </w:lvl>
  </w:abstractNum>
  <w:abstractNum w:abstractNumId="1">
    <w:nsid w:val="CF3F2B0B"/>
    <w:multiLevelType w:val="singleLevel"/>
    <w:tmpl w:val="CF3F2B0B"/>
    <w:lvl w:ilvl="0" w:tentative="0">
      <w:start w:val="1"/>
      <w:numFmt w:val="decimal"/>
      <w:suff w:val="nothing"/>
      <w:lvlText w:val="%1、"/>
      <w:lvlJc w:val="left"/>
    </w:lvl>
  </w:abstractNum>
  <w:abstractNum w:abstractNumId="2">
    <w:nsid w:val="E5ABD7CF"/>
    <w:multiLevelType w:val="singleLevel"/>
    <w:tmpl w:val="E5ABD7CF"/>
    <w:lvl w:ilvl="0" w:tentative="0">
      <w:start w:val="13"/>
      <w:numFmt w:val="chineseCounting"/>
      <w:suff w:val="nothing"/>
      <w:lvlText w:val="%1、"/>
      <w:lvlJc w:val="left"/>
      <w:rPr>
        <w:rFonts w:hint="eastAsia"/>
      </w:rPr>
    </w:lvl>
  </w:abstractNum>
  <w:abstractNum w:abstractNumId="3">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3"/>
    <w:multiLevelType w:val="multilevel"/>
    <w:tmpl w:val="00000023"/>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25"/>
    <w:multiLevelType w:val="singleLevel"/>
    <w:tmpl w:val="00000025"/>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8">
    <w:nsid w:val="15752077"/>
    <w:multiLevelType w:val="singleLevel"/>
    <w:tmpl w:val="15752077"/>
    <w:lvl w:ilvl="0" w:tentative="0">
      <w:start w:val="1"/>
      <w:numFmt w:val="chineseCounting"/>
      <w:suff w:val="nothing"/>
      <w:lvlText w:val="%1、"/>
      <w:lvlJc w:val="left"/>
      <w:rPr>
        <w:rFonts w:hint="eastAsia"/>
      </w:rPr>
    </w:lvl>
  </w:abstractNum>
  <w:abstractNum w:abstractNumId="9">
    <w:nsid w:val="1FE18FCD"/>
    <w:multiLevelType w:val="singleLevel"/>
    <w:tmpl w:val="1FE18FCD"/>
    <w:lvl w:ilvl="0" w:tentative="0">
      <w:start w:val="1"/>
      <w:numFmt w:val="decimal"/>
      <w:suff w:val="nothing"/>
      <w:lvlText w:val="%1、"/>
      <w:lvlJc w:val="left"/>
    </w:lvl>
  </w:abstractNum>
  <w:abstractNum w:abstractNumId="10">
    <w:nsid w:val="237A437F"/>
    <w:multiLevelType w:val="singleLevel"/>
    <w:tmpl w:val="237A437F"/>
    <w:lvl w:ilvl="0" w:tentative="0">
      <w:start w:val="1"/>
      <w:numFmt w:val="decimal"/>
      <w:suff w:val="nothing"/>
      <w:lvlText w:val="（%1）"/>
      <w:lvlJc w:val="left"/>
    </w:lvl>
  </w:abstractNum>
  <w:num w:numId="1">
    <w:abstractNumId w:val="3"/>
  </w:num>
  <w:num w:numId="2">
    <w:abstractNumId w:val="9"/>
  </w:num>
  <w:num w:numId="3">
    <w:abstractNumId w:val="1"/>
  </w:num>
  <w:num w:numId="4">
    <w:abstractNumId w:val="10"/>
  </w:num>
  <w:num w:numId="5">
    <w:abstractNumId w:val="8"/>
  </w:num>
  <w:num w:numId="6">
    <w:abstractNumId w:val="2"/>
  </w:num>
  <w:num w:numId="7">
    <w:abstractNumId w:val="7"/>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E1BFB"/>
    <w:rsid w:val="010F7FF3"/>
    <w:rsid w:val="01203FAE"/>
    <w:rsid w:val="03887BE8"/>
    <w:rsid w:val="03DF056B"/>
    <w:rsid w:val="05716E1F"/>
    <w:rsid w:val="0CD143AE"/>
    <w:rsid w:val="0D475126"/>
    <w:rsid w:val="0D5D3E94"/>
    <w:rsid w:val="0D7511DD"/>
    <w:rsid w:val="0DB77A48"/>
    <w:rsid w:val="0E512FED"/>
    <w:rsid w:val="0EA0228A"/>
    <w:rsid w:val="0F982F6C"/>
    <w:rsid w:val="0FBA737B"/>
    <w:rsid w:val="0FDE1BFB"/>
    <w:rsid w:val="105F7F23"/>
    <w:rsid w:val="11040388"/>
    <w:rsid w:val="11387874"/>
    <w:rsid w:val="127777A6"/>
    <w:rsid w:val="143376FC"/>
    <w:rsid w:val="14977C8B"/>
    <w:rsid w:val="17E10FA2"/>
    <w:rsid w:val="184C6FDF"/>
    <w:rsid w:val="18C33745"/>
    <w:rsid w:val="18FB1891"/>
    <w:rsid w:val="19101135"/>
    <w:rsid w:val="196A3FD2"/>
    <w:rsid w:val="1A0C111B"/>
    <w:rsid w:val="1B2D46D6"/>
    <w:rsid w:val="1B636B19"/>
    <w:rsid w:val="1BE023A8"/>
    <w:rsid w:val="1BF97698"/>
    <w:rsid w:val="1CB8068A"/>
    <w:rsid w:val="1CF00880"/>
    <w:rsid w:val="1DA6356E"/>
    <w:rsid w:val="1DAD6772"/>
    <w:rsid w:val="1E0839A8"/>
    <w:rsid w:val="1F0871D4"/>
    <w:rsid w:val="1F0C54A8"/>
    <w:rsid w:val="1F345618"/>
    <w:rsid w:val="1F5A46D7"/>
    <w:rsid w:val="1F8F7B65"/>
    <w:rsid w:val="1FA92F69"/>
    <w:rsid w:val="1FDA67F3"/>
    <w:rsid w:val="20561B6F"/>
    <w:rsid w:val="20737CE1"/>
    <w:rsid w:val="20D374CA"/>
    <w:rsid w:val="21AB1689"/>
    <w:rsid w:val="22527269"/>
    <w:rsid w:val="249B00EE"/>
    <w:rsid w:val="262B7D71"/>
    <w:rsid w:val="269F08AA"/>
    <w:rsid w:val="26DE2AB8"/>
    <w:rsid w:val="26F820B7"/>
    <w:rsid w:val="288602EB"/>
    <w:rsid w:val="2A135BAE"/>
    <w:rsid w:val="2A194E95"/>
    <w:rsid w:val="2AA70A30"/>
    <w:rsid w:val="2CC6544A"/>
    <w:rsid w:val="2D4D3B50"/>
    <w:rsid w:val="2F1B6430"/>
    <w:rsid w:val="2F416D1A"/>
    <w:rsid w:val="303D5733"/>
    <w:rsid w:val="31EE13DB"/>
    <w:rsid w:val="32045598"/>
    <w:rsid w:val="322F3A2D"/>
    <w:rsid w:val="330446D3"/>
    <w:rsid w:val="33057F13"/>
    <w:rsid w:val="341E2485"/>
    <w:rsid w:val="341F3B92"/>
    <w:rsid w:val="342015F4"/>
    <w:rsid w:val="35C71F68"/>
    <w:rsid w:val="37BD5C07"/>
    <w:rsid w:val="3891486E"/>
    <w:rsid w:val="38C41A24"/>
    <w:rsid w:val="39794940"/>
    <w:rsid w:val="39FF3A60"/>
    <w:rsid w:val="3A761414"/>
    <w:rsid w:val="3AAB598F"/>
    <w:rsid w:val="3BEE0229"/>
    <w:rsid w:val="3C244B67"/>
    <w:rsid w:val="3CCF6D50"/>
    <w:rsid w:val="3CDB50F4"/>
    <w:rsid w:val="3EC44618"/>
    <w:rsid w:val="3ED5122D"/>
    <w:rsid w:val="3F002452"/>
    <w:rsid w:val="406356BE"/>
    <w:rsid w:val="40C16428"/>
    <w:rsid w:val="40D43E92"/>
    <w:rsid w:val="419370B3"/>
    <w:rsid w:val="42A6139F"/>
    <w:rsid w:val="42B82713"/>
    <w:rsid w:val="4499642C"/>
    <w:rsid w:val="44BC3F3F"/>
    <w:rsid w:val="44F734F0"/>
    <w:rsid w:val="45702958"/>
    <w:rsid w:val="457C4AF8"/>
    <w:rsid w:val="46AB11F1"/>
    <w:rsid w:val="47C5573F"/>
    <w:rsid w:val="4808034A"/>
    <w:rsid w:val="48B85E47"/>
    <w:rsid w:val="49295C0D"/>
    <w:rsid w:val="49A66BC1"/>
    <w:rsid w:val="49DE2AB3"/>
    <w:rsid w:val="49FC01B8"/>
    <w:rsid w:val="4A2253DB"/>
    <w:rsid w:val="4A6A06B3"/>
    <w:rsid w:val="4A9C5FD5"/>
    <w:rsid w:val="4B7C4016"/>
    <w:rsid w:val="4B985ABC"/>
    <w:rsid w:val="4BC77561"/>
    <w:rsid w:val="4C10574A"/>
    <w:rsid w:val="4C970EA9"/>
    <w:rsid w:val="4D155616"/>
    <w:rsid w:val="4D203FBB"/>
    <w:rsid w:val="4DB73D62"/>
    <w:rsid w:val="4F2D4518"/>
    <w:rsid w:val="50B95D3A"/>
    <w:rsid w:val="51A07A7D"/>
    <w:rsid w:val="52CD22D4"/>
    <w:rsid w:val="54387E3C"/>
    <w:rsid w:val="54A31C4C"/>
    <w:rsid w:val="56016118"/>
    <w:rsid w:val="59806648"/>
    <w:rsid w:val="5A7D2E6B"/>
    <w:rsid w:val="5AE56C37"/>
    <w:rsid w:val="5B0F5D9A"/>
    <w:rsid w:val="5B1C4013"/>
    <w:rsid w:val="5C166CB5"/>
    <w:rsid w:val="5C6E1962"/>
    <w:rsid w:val="5D835BBB"/>
    <w:rsid w:val="5E113BD7"/>
    <w:rsid w:val="5E59557E"/>
    <w:rsid w:val="5EA30B54"/>
    <w:rsid w:val="5F28567D"/>
    <w:rsid w:val="5FD604C6"/>
    <w:rsid w:val="604E1113"/>
    <w:rsid w:val="60511A3C"/>
    <w:rsid w:val="60806DF2"/>
    <w:rsid w:val="609A4358"/>
    <w:rsid w:val="61017934"/>
    <w:rsid w:val="62532D98"/>
    <w:rsid w:val="639B79A4"/>
    <w:rsid w:val="64577C2C"/>
    <w:rsid w:val="64C56384"/>
    <w:rsid w:val="65605444"/>
    <w:rsid w:val="6603474E"/>
    <w:rsid w:val="67342160"/>
    <w:rsid w:val="67431FB7"/>
    <w:rsid w:val="67CB6954"/>
    <w:rsid w:val="6B064398"/>
    <w:rsid w:val="6BBB571F"/>
    <w:rsid w:val="6BD04948"/>
    <w:rsid w:val="6CB56076"/>
    <w:rsid w:val="6D195ABC"/>
    <w:rsid w:val="6D232301"/>
    <w:rsid w:val="6DF80910"/>
    <w:rsid w:val="6E1A0E7D"/>
    <w:rsid w:val="6ED722D3"/>
    <w:rsid w:val="6F173E90"/>
    <w:rsid w:val="71DE606F"/>
    <w:rsid w:val="71E33685"/>
    <w:rsid w:val="721B4107"/>
    <w:rsid w:val="72AE3C93"/>
    <w:rsid w:val="72F83160"/>
    <w:rsid w:val="73047395"/>
    <w:rsid w:val="7311126A"/>
    <w:rsid w:val="736E571F"/>
    <w:rsid w:val="73D66AF7"/>
    <w:rsid w:val="74227169"/>
    <w:rsid w:val="744A3547"/>
    <w:rsid w:val="74CD6587"/>
    <w:rsid w:val="75B20438"/>
    <w:rsid w:val="75B32F2F"/>
    <w:rsid w:val="76830F93"/>
    <w:rsid w:val="7B8A5D39"/>
    <w:rsid w:val="7BFC21C9"/>
    <w:rsid w:val="7C6E59A7"/>
    <w:rsid w:val="7CBD4898"/>
    <w:rsid w:val="7CED69F3"/>
    <w:rsid w:val="7F2063D5"/>
    <w:rsid w:val="7F6A7194"/>
    <w:rsid w:val="7F6B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8">
    <w:name w:val="Body Text Indent"/>
    <w:basedOn w:val="1"/>
    <w:next w:val="1"/>
    <w:qFormat/>
    <w:uiPriority w:val="0"/>
    <w:pPr>
      <w:spacing w:after="120" w:afterLines="0"/>
      <w:ind w:left="420" w:leftChars="200"/>
    </w:pPr>
  </w:style>
  <w:style w:type="paragraph" w:styleId="9">
    <w:name w:val="Plain Text"/>
    <w:basedOn w:val="1"/>
    <w:next w:val="1"/>
    <w:qFormat/>
    <w:uiPriority w:val="0"/>
    <w:pPr>
      <w:spacing w:line="360" w:lineRule="auto"/>
      <w:ind w:firstLine="510"/>
    </w:pPr>
    <w:rPr>
      <w:rFonts w:ascii="宋体" w:hAnsi="Courier New"/>
      <w:sz w:val="24"/>
      <w:szCs w:val="20"/>
    </w:rPr>
  </w:style>
  <w:style w:type="paragraph" w:styleId="10">
    <w:name w:val="Date"/>
    <w:basedOn w:val="1"/>
    <w:next w:val="1"/>
    <w:qFormat/>
    <w:uiPriority w:val="0"/>
    <w:rPr>
      <w:rFonts w:ascii="宋体" w:hAnsi="Courier New"/>
      <w:sz w:val="32"/>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1"/>
    <w:basedOn w:val="1"/>
    <w:next w:val="9"/>
    <w:qFormat/>
    <w:uiPriority w:val="0"/>
    <w:rPr>
      <w:rFonts w:ascii="宋体" w:hAnsi="Courier New"/>
      <w:szCs w:val="20"/>
    </w:rPr>
  </w:style>
  <w:style w:type="paragraph" w:customStyle="1" w:styleId="23">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25">
    <w:name w:val="元正正文标题2"/>
    <w:basedOn w:val="4"/>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6267</Words>
  <Characters>6601</Characters>
  <Lines>0</Lines>
  <Paragraphs>0</Paragraphs>
  <TotalTime>23</TotalTime>
  <ScaleCrop>false</ScaleCrop>
  <LinksUpToDate>false</LinksUpToDate>
  <CharactersWithSpaces>6637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2026-01-30T01:29:00Z</dcterms:created>
  <dc:creator>郑秋灵</dc:creator>
  <cp:lastModifiedBy>杨育莉</cp:lastModifiedBy>
  <cp:lastPrinted>2026-02-09T07:56:00Z</cp:lastPrinted>
  <dcterms:modified xsi:type="dcterms:W3CDTF">2026-03-04T02:28:44Z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eyJoZGlkIjoiMjA3ZTAzNGM3NzI4ZTI4NTM5OTI4ZDk5NDc1MzI3MmIiLCJ1c2VySWQiOiIxNzAwMTkyODc1In0=</vt:lpwstr>
  </property>
  <property fmtid="{D5CDD505-2E9C-101B-9397-08002B2CF9AE}" pid="4" name="ICV">
    <vt:lpwstr>C8F6987F85904FD3997E03E2F4F8FBC1_13</vt:lpwstr>
  </property>
</Properties>
</file>