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BDF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default"/>
          <w:b/>
          <w:bCs w:val="0"/>
          <w:color w:val="auto"/>
          <w:sz w:val="28"/>
          <w:szCs w:val="28"/>
          <w:highlight w:val="none"/>
          <w:lang w:val="en-US" w:eastAsia="zh-CN"/>
        </w:rPr>
      </w:pPr>
      <w:bookmarkStart w:id="0" w:name="_Toc28455"/>
      <w:r>
        <w:rPr>
          <w:rFonts w:hint="eastAsia"/>
          <w:b/>
          <w:bCs w:val="0"/>
          <w:color w:val="auto"/>
          <w:sz w:val="28"/>
          <w:szCs w:val="28"/>
          <w:highlight w:val="none"/>
          <w:lang w:val="en-US" w:eastAsia="zh-CN"/>
        </w:rPr>
        <w:t>一、“</w:t>
      </w: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基础电价+分段服务费”收费模式</w:t>
      </w:r>
    </w:p>
    <w:tbl>
      <w:tblPr>
        <w:tblStyle w:val="6"/>
        <w:tblW w:w="833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6"/>
        <w:gridCol w:w="2505"/>
        <w:gridCol w:w="3120"/>
      </w:tblGrid>
      <w:tr w14:paraId="5494E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DF3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基础电价0.65元/KW，按充电功率分段收服务费（供应商日常运维、设备维护和更新、损耗等运营成本）</w:t>
            </w:r>
          </w:p>
        </w:tc>
      </w:tr>
      <w:tr w14:paraId="1F6EA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3014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充电功率区间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8C61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基础电价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9772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项目服务费（元/小时）</w:t>
            </w:r>
          </w:p>
        </w:tc>
      </w:tr>
      <w:tr w14:paraId="4E244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58F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0W~200W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B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基础电价0.65元/KW.h</w:t>
            </w: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1ACC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0.23</w:t>
            </w:r>
          </w:p>
        </w:tc>
      </w:tr>
      <w:tr w14:paraId="559C3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49E7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200W~400W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23E994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ACA1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0.33</w:t>
            </w:r>
          </w:p>
        </w:tc>
      </w:tr>
      <w:tr w14:paraId="6CD1B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2AB43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400W~600W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31B48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527A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0.43</w:t>
            </w:r>
          </w:p>
        </w:tc>
      </w:tr>
      <w:tr w14:paraId="60C92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38B67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600W~800W</w:t>
            </w:r>
          </w:p>
        </w:tc>
        <w:tc>
          <w:tcPr>
            <w:tcW w:w="25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F83A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</w:p>
        </w:tc>
        <w:tc>
          <w:tcPr>
            <w:tcW w:w="3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E802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0.63</w:t>
            </w:r>
          </w:p>
        </w:tc>
      </w:tr>
      <w:tr w14:paraId="1E7E7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F43C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lang w:val="en-US" w:eastAsia="zh-CN"/>
              </w:rPr>
              <w:t>医院按照非电网直供电企业结算的平均电价向供应商收取；平均电价按每月总电费（应税电度价格合计）总购电量计算约定确定。</w:t>
            </w:r>
          </w:p>
        </w:tc>
      </w:tr>
    </w:tbl>
    <w:p w14:paraId="5FCD30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default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此报价不得超过以上基础电价+分段服务费，否则报价无效。</w:t>
      </w:r>
    </w:p>
    <w:p w14:paraId="375EA9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二、项目设备参数要求</w:t>
      </w:r>
      <w:bookmarkEnd w:id="0"/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（室外使用）</w:t>
      </w:r>
    </w:p>
    <w:p w14:paraId="7E75FB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（一）技术参数：</w:t>
      </w:r>
    </w:p>
    <w:p w14:paraId="657F32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1、设备充电路数:≥10回路</w:t>
      </w:r>
    </w:p>
    <w:p w14:paraId="0514BA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2、防水防尘等级:</w:t>
      </w:r>
      <w:r>
        <w:rPr>
          <w:rFonts w:ascii="宋体" w:hAnsi="宋体" w:eastAsia="宋体" w:cs="宋体"/>
          <w:sz w:val="24"/>
          <w:szCs w:val="24"/>
        </w:rPr>
        <w:t>国际标准</w:t>
      </w:r>
    </w:p>
    <w:p w14:paraId="37FF17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3、外壳阻燃等级:</w:t>
      </w:r>
      <w:r>
        <w:rPr>
          <w:rFonts w:ascii="宋体" w:hAnsi="宋体" w:eastAsia="宋体" w:cs="宋体"/>
          <w:sz w:val="24"/>
          <w:szCs w:val="24"/>
        </w:rPr>
        <w:t>国际标准</w:t>
      </w:r>
    </w:p>
    <w:p w14:paraId="328097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4、显示屏：液晶屏，显示各路充电状态及功率</w:t>
      </w:r>
    </w:p>
    <w:p w14:paraId="22BB7B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default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5、保护功能：漏电保护/过流保护/浪涌保护/雷击防护/过压/欠压保护</w:t>
      </w:r>
    </w:p>
    <w:p w14:paraId="526D7F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（二）功能要求：</w:t>
      </w:r>
    </w:p>
    <w:p w14:paraId="6B30FD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1、充电方式：扫码（微信/支付宝/）</w:t>
      </w:r>
    </w:p>
    <w:p w14:paraId="54B649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 xml:space="preserve">2、充满自停：电池充满后自动停止充电 </w:t>
      </w:r>
    </w:p>
    <w:p w14:paraId="2C6463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3、断电记忆：站点的供电断电，可配置一定时间内恢复供电后未完成的订单可继续充电</w:t>
      </w:r>
    </w:p>
    <w:p w14:paraId="236354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4、拔电自停：可配置拔插头后立即断电且订单结束，或者配置一定时间内重新插入后订单继续</w:t>
      </w:r>
    </w:p>
    <w:p w14:paraId="238B0E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 xml:space="preserve">5、语音播报：操作过程中有语音播报提示  </w:t>
      </w:r>
    </w:p>
    <w:p w14:paraId="4F659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6、充电功率：自动识别（实时）</w:t>
      </w:r>
    </w:p>
    <w:p w14:paraId="592B9B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7、过流/过载自动断电：检测某路充电口输出电流或输出功率超过单路支持的最大值时，停止该路供电</w:t>
      </w:r>
    </w:p>
    <w:p w14:paraId="26A88A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8、短路保护：充电桩检测到某路充电口产生非常大的瞬时电流停止该路供电</w:t>
      </w:r>
    </w:p>
    <w:p w14:paraId="57B4C0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9、空载保护：充电插头未插入插座时不能充电，对应插座输出口不能供电</w:t>
      </w:r>
    </w:p>
    <w:p w14:paraId="0C2543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10、电气保护：具备防浪涌保护/漏电保护（符合电气标准）</w:t>
      </w:r>
    </w:p>
    <w:p w14:paraId="71CF85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11、责任保险：自签订合同后，设备投入使用前，厂家</w:t>
      </w:r>
      <w:bookmarkStart w:id="1" w:name="_GoBack"/>
      <w:bookmarkEnd w:id="1"/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设备</w:t>
      </w:r>
      <w:r>
        <w:rPr>
          <w:rFonts w:ascii="宋体" w:hAnsi="宋体" w:eastAsia="宋体" w:cs="宋体"/>
          <w:sz w:val="24"/>
          <w:szCs w:val="24"/>
        </w:rPr>
        <w:t>产品责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任险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按国家行业标准投保，公众责任险按每年保额累计≥200万</w:t>
      </w:r>
    </w:p>
    <w:p w14:paraId="6DB6B2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三、产品质量、安装、消防安全设施执行标准</w:t>
      </w:r>
    </w:p>
    <w:p w14:paraId="7E2A2B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Times New Roman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  <w:vertAlign w:val="baseline"/>
          <w:lang w:val="en-US" w:eastAsia="zh-CN"/>
        </w:rPr>
        <w:t>1、产品符合出厂检验质量认证合格证；</w:t>
      </w:r>
    </w:p>
    <w:p w14:paraId="22B9D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Times New Roman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  <w:vertAlign w:val="baseline"/>
          <w:lang w:val="en-US" w:eastAsia="zh-CN"/>
        </w:rPr>
        <w:t>2、充电设备本体技术要求符合 GB/T 42236.1-2022《电动自行车集中充电设施 第 1 部分：技术规范》；</w:t>
      </w:r>
    </w:p>
    <w:p w14:paraId="085848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eastAsia" w:ascii="宋体" w:hAnsi="宋体" w:eastAsia="宋体" w:cs="Times New Roman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  <w:vertAlign w:val="baseline"/>
          <w:lang w:val="en-US" w:eastAsia="zh-CN"/>
        </w:rPr>
        <w:t>3、集中充电棚场地布置、配电管线、建筑防火配套要求参考 T/CHINABICYCLE 1-2018《电动自行车集中充电设施设备技术规范》。</w:t>
      </w:r>
    </w:p>
    <w:p w14:paraId="4D6D16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outlineLvl w:val="1"/>
        <w:rPr>
          <w:rFonts w:hint="default" w:ascii="宋体" w:hAnsi="宋体" w:eastAsia="宋体" w:cs="Times New Roman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场地示意图</w:t>
      </w:r>
    </w:p>
    <w:p w14:paraId="27FC9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default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门诊A区域：</w:t>
      </w:r>
    </w:p>
    <w:tbl>
      <w:tblPr>
        <w:tblStyle w:val="7"/>
        <w:tblW w:w="6105" w:type="dxa"/>
        <w:tblInd w:w="-3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5"/>
        <w:gridCol w:w="3150"/>
      </w:tblGrid>
      <w:tr w14:paraId="016F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3" w:hRule="atLeast"/>
        </w:trPr>
        <w:tc>
          <w:tcPr>
            <w:tcW w:w="2955" w:type="dxa"/>
          </w:tcPr>
          <w:p w14:paraId="1F343C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771015" cy="1905000"/>
                  <wp:effectExtent l="0" t="0" r="635" b="0"/>
                  <wp:docPr id="3" name="图片 3" descr="7428a67b3bb4df705f4a5de68fbd3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7428a67b3bb4df705f4a5de68fbd383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01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0" w:type="dxa"/>
          </w:tcPr>
          <w:p w14:paraId="7C2899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1"/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52930" cy="1852930"/>
                  <wp:effectExtent l="0" t="0" r="13970" b="13970"/>
                  <wp:docPr id="5" name="图片 5" descr="72e7199e942b957332aa16c1be426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72e7199e942b957332aa16c1be42686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85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B14C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</w:p>
    <w:p w14:paraId="13AF2A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default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  <w:t>后勤楼B区域：</w:t>
      </w:r>
    </w:p>
    <w:tbl>
      <w:tblPr>
        <w:tblStyle w:val="7"/>
        <w:tblW w:w="6105" w:type="dxa"/>
        <w:tblInd w:w="-3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5"/>
        <w:gridCol w:w="3120"/>
      </w:tblGrid>
      <w:tr w14:paraId="45A1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8" w:hRule="atLeast"/>
        </w:trPr>
        <w:tc>
          <w:tcPr>
            <w:tcW w:w="2985" w:type="dxa"/>
          </w:tcPr>
          <w:p w14:paraId="3AFD31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1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730375" cy="1694180"/>
                  <wp:effectExtent l="0" t="0" r="3175" b="1270"/>
                  <wp:docPr id="7" name="图片 7" descr="d4a0b02fae9938a326745c8c181983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d4a0b02fae9938a326745c8c181983bc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375" cy="169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</w:tcPr>
          <w:p w14:paraId="00D6A3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outlineLvl w:val="1"/>
              <w:rPr>
                <w:rFonts w:hint="default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28800" cy="1625600"/>
                  <wp:effectExtent l="0" t="0" r="0" b="12700"/>
                  <wp:docPr id="4" name="图片 4" descr="cb41a51b7d47a6c9a802460e80b13f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b41a51b7d47a6c9a802460e80b13f0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6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C723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default" w:ascii="宋体" w:hAnsi="宋体" w:eastAsia="宋体" w:cs="宋体"/>
          <w:b/>
          <w:bCs w:val="0"/>
          <w:i w:val="0"/>
          <w:iCs w:val="0"/>
          <w:caps w:val="0"/>
          <w:color w:val="000000"/>
          <w:spacing w:val="0"/>
          <w:sz w:val="22"/>
          <w:szCs w:val="22"/>
          <w:shd w:val="clear" w:fill="FFFFFF"/>
          <w:lang w:val="en-US" w:eastAsia="zh-CN"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DB9C76"/>
    <w:multiLevelType w:val="singleLevel"/>
    <w:tmpl w:val="6BDB9C7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iNWNlMzMyMmU2MWE1NTRmZDYyNWNmYTc4NzZjYzAifQ=="/>
  </w:docVars>
  <w:rsids>
    <w:rsidRoot w:val="075E3193"/>
    <w:rsid w:val="06751F97"/>
    <w:rsid w:val="075E3193"/>
    <w:rsid w:val="09196711"/>
    <w:rsid w:val="095A5B83"/>
    <w:rsid w:val="1C4C3A51"/>
    <w:rsid w:val="1C694A85"/>
    <w:rsid w:val="1C9C7069"/>
    <w:rsid w:val="1E281B04"/>
    <w:rsid w:val="21CF4F08"/>
    <w:rsid w:val="2CA05812"/>
    <w:rsid w:val="2F104DB2"/>
    <w:rsid w:val="2F391D8B"/>
    <w:rsid w:val="2F843AFF"/>
    <w:rsid w:val="3B84361E"/>
    <w:rsid w:val="3DFA4457"/>
    <w:rsid w:val="3EDC6A5F"/>
    <w:rsid w:val="4063005A"/>
    <w:rsid w:val="41C11247"/>
    <w:rsid w:val="422B02CE"/>
    <w:rsid w:val="518A5EA7"/>
    <w:rsid w:val="53E915AA"/>
    <w:rsid w:val="55057817"/>
    <w:rsid w:val="5C936557"/>
    <w:rsid w:val="5D454033"/>
    <w:rsid w:val="6014338D"/>
    <w:rsid w:val="689F3365"/>
    <w:rsid w:val="7892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794</Words>
  <Characters>902</Characters>
  <Lines>0</Lines>
  <Paragraphs>0</Paragraphs>
  <TotalTime>9</TotalTime>
  <ScaleCrop>false</ScaleCrop>
  <LinksUpToDate>false</LinksUpToDate>
  <CharactersWithSpaces>912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2024-07-22T08:46:00Z</dcterms:created>
  <dc:creator>WPS_1591258081</dc:creator>
  <cp:lastModifiedBy>欧志伟</cp:lastModifiedBy>
  <dcterms:modified xsi:type="dcterms:W3CDTF">2026-09-13T12:00:30Z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EA0D779244164D6FA75DE70115DBBF03_11</vt:lpwstr>
  </property>
  <property fmtid="{D5CDD505-2E9C-101B-9397-08002B2CF9AE}" pid="4" name="KSOTemplateDocerSaveRecord">
    <vt:lpwstr>eyJoZGlkIjoiMDljYzUzMWQ4OWI0YzBkYjYzMDRhZTY5ZjZkYmFmYTgiLCJ1c2VySWQiOiIxMTk3NjQ2NjE2In0=</vt:lpwstr>
  </property>
</Properties>
</file>